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F6B3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7837">
        <w:rPr>
          <w:rFonts w:ascii="Arial" w:hAnsi="Arial" w:cs="Arial"/>
          <w:b/>
          <w:bCs/>
          <w:sz w:val="20"/>
          <w:szCs w:val="20"/>
        </w:rPr>
        <w:t>Zarządzenie Nr 35/2021</w:t>
      </w:r>
    </w:p>
    <w:p w14:paraId="1DC7FC1C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7837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C1F71CD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7837">
        <w:rPr>
          <w:rFonts w:ascii="Arial" w:hAnsi="Arial" w:cs="Arial"/>
          <w:b/>
          <w:bCs/>
          <w:sz w:val="20"/>
          <w:szCs w:val="20"/>
        </w:rPr>
        <w:t>z dnia 25 marca 2021 roku</w:t>
      </w:r>
    </w:p>
    <w:p w14:paraId="7D5D7EB7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D329FF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7837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6DFEC452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7837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61BE6FD4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D50389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3F591B6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7783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2019r. poz. 869 z </w:t>
      </w:r>
      <w:proofErr w:type="spellStart"/>
      <w:r w:rsidRPr="0037783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377837">
        <w:rPr>
          <w:rFonts w:ascii="Arial" w:hAnsi="Arial" w:cs="Arial"/>
          <w:i/>
          <w:iCs/>
          <w:sz w:val="20"/>
          <w:szCs w:val="20"/>
        </w:rPr>
        <w:t xml:space="preserve">. zm.) i § 13 pkt 1 Uchwały Nr XXVII/229/2020 Rady Gminy Skąpe z dnia 23 grudnia 2020 roku </w:t>
      </w:r>
      <w:r w:rsidRPr="0037783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EE3BF05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23FCBB" w14:textId="77777777" w:rsidR="00377837" w:rsidRPr="00377837" w:rsidRDefault="00377837" w:rsidP="0037783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A36A92" w14:textId="77777777" w:rsidR="00377837" w:rsidRPr="00377837" w:rsidRDefault="00377837" w:rsidP="0037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837">
        <w:rPr>
          <w:rFonts w:ascii="Arial" w:hAnsi="Arial" w:cs="Arial"/>
          <w:b/>
          <w:bCs/>
          <w:sz w:val="20"/>
          <w:szCs w:val="20"/>
        </w:rPr>
        <w:t>§ 1.</w:t>
      </w:r>
      <w:r w:rsidRPr="00377837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377837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0D3C5EAD" w14:textId="77777777" w:rsidR="00377837" w:rsidRPr="00377837" w:rsidRDefault="00377837" w:rsidP="0037783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837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377837">
        <w:rPr>
          <w:rFonts w:ascii="Arial" w:hAnsi="Arial" w:cs="Arial"/>
          <w:color w:val="000000"/>
          <w:sz w:val="20"/>
          <w:szCs w:val="20"/>
        </w:rPr>
        <w:br/>
        <w:t>ustala się wydatki budżetu w kwocie 31.747.183,48 zł, w tym:</w:t>
      </w:r>
    </w:p>
    <w:p w14:paraId="6008BB3B" w14:textId="77777777" w:rsidR="00377837" w:rsidRPr="00377837" w:rsidRDefault="00377837" w:rsidP="0037783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377837">
        <w:rPr>
          <w:rFonts w:ascii="Arial" w:hAnsi="Arial" w:cs="Arial"/>
          <w:color w:val="000000"/>
          <w:sz w:val="20"/>
          <w:szCs w:val="20"/>
        </w:rPr>
        <w:t>- wydatki bieżące      – 25.691.782,10 zł,</w:t>
      </w:r>
    </w:p>
    <w:p w14:paraId="4A03C2F7" w14:textId="77777777" w:rsidR="00377837" w:rsidRPr="00377837" w:rsidRDefault="00377837" w:rsidP="0037783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377837">
        <w:rPr>
          <w:rFonts w:ascii="Arial" w:hAnsi="Arial" w:cs="Arial"/>
          <w:color w:val="000000"/>
          <w:sz w:val="20"/>
          <w:szCs w:val="20"/>
        </w:rPr>
        <w:t>- wydatki majątkowe –   6.055.401,38 zł.</w:t>
      </w:r>
    </w:p>
    <w:p w14:paraId="0D5B533A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949537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D1AD8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6BD5B1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7837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377837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32F1BFA4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51D655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988055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7FDD52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5A8595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C36E8F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753E18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DBBF8A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4FDA0A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6C8CDB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64A033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629AEB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DE13C6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A943B5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975A1B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68B878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799467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3F3831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5B848B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F8B30C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F99212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65BE05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377480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7D0C33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49C5C4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349D63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86A6BF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B7C7AD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740CF8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2246C1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0150F3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8B5743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9F8F23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DC78B5" w14:textId="77777777" w:rsidR="00377837" w:rsidRPr="00377837" w:rsidRDefault="00377837" w:rsidP="003778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377837" w:rsidRPr="00377837" w:rsidSect="00BB0B8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02"/>
    <w:rsid w:val="003261E2"/>
    <w:rsid w:val="00377837"/>
    <w:rsid w:val="004E1B02"/>
    <w:rsid w:val="00546076"/>
    <w:rsid w:val="007D07F4"/>
    <w:rsid w:val="008F2303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6821"/>
  <w15:chartTrackingRefBased/>
  <w15:docId w15:val="{D568BA68-C390-450A-BCD1-59074C8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77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2021-03-25T12:13:00Z</dcterms:created>
  <dcterms:modified xsi:type="dcterms:W3CDTF">2021-03-25T12:14:00Z</dcterms:modified>
</cp:coreProperties>
</file>