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Petycja odrębna: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§2) Na mocy art. 63 Konstytucji RP w związku z art 2 pkt 1, 2 i 3 Ustawy z dnia 11 lipca 2014 r. o petycjach ( tj. Dz.U. 2018 poz. 870) w związku z art. 241 Kodeksu postępowania administracyjnego (t.j. Dz. U. z 2021 r. poz. 735 , 2052) , wnosimy petycję do Kierownika JST o to aby jednym ze środków poprawy efektywności energetycznej wdrożonym przez Gminę w 2022 r. była optymalizacja wydatków związanych kosztami zakupu  energii elektrycznej oraz ewentualna sanacja stanu faktycznego i długofalowe planowanie związane z zagadnieniami poruszanymi przez wnioskodawcę </w:t>
      </w: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pl-PL"/>
        </w:rPr>
        <w:t>w §1.4 niniejszego wniosku.</w:t>
      </w: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 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Zdaniem wnoszącego - niniejsze pismo należy go procedować dwutorowo w trybie ustawy o petycjach i ustawy o dostępie do inf. publicznej  - dla zmniejszenia marnotrawstwa papieru i procedur biurokratycznych wniosek i petycję przesyłamy en-bloc - w jednym piśmie. 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Nie jest to łączenie trybów - zatem prosimy kwalifikować niniejsze pisma jako dwa środki prawne - wniosek  i odrębną petycję   - vide -  J. Borkowski (w:) B. Adamiak, J. Borkowski, Kodeks postępowania…, s. 668; por. także art. 12 ust. 1 komentowanej ustawy - dostępne w sieci Internet. 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W razie wątpliwości co do trybu jaki należy zastosować do naszego pisma - wnosimy o bezwzględne zastosowanie dyspozycji art. 222 Ustawy z dnia 14 czerwca 1960 r. Kodeks postępowania administracyjnego ( t.j. Dz. U. z 2020 r. poz. 256, 695)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Korespondując z brzmieniem art. 3 ust. 1 pkt. 1 Ustawy z dnia 6 września o dostępie do informacji publicznej (t.j. Dz. U. z 2020 r.) - zdaniem wnioskodawcy - dane te powinny być ad hoc dostępne w Urzędzie, przekazanie ich kopii (skanu) nie wymaga działań związanych z długotrwałym ich przetwarzaniem i dane te   wydają się szczególnie istotne z punktu widzenia interesu publicznego pro publico bono - nawiązując osnowy powyższego wniosku.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§3) Aby zachować pełną jawność i transparentność działań - wnosimy o opublikowanie treści wniosku  na stronie internetowej podmiotu rozpatrującego petycję lub urzędu go obsługującego (Adresata) W tym przypadku prośba jest fakultatywna gdyż - obowiązek taki istnieje jedynie w przypadku petycji. Chcemy działać w pełni jawnie i transparentnie, mamy nadzieję, że Urząd również. 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 xml:space="preserve">§4) Wnosimy o zwrotne potwierdzenie otrzymania niniejszego wniosku w trybie §7 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Rozporządzenia Prezesa Rady Ministrów z dnia 8 stycznia 2002 r. w sprawie organizacji przyjmowania i rozpatrywania s. i wniosków. (Dz. U. z dnia 22 styczna 2002 r. Nr 5, poz. 46) -  </w:t>
      </w: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pl-PL"/>
        </w:rPr>
        <w:t>na zwrotny -</w:t>
      </w: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 adres e-mail: </w:t>
      </w: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pl-PL"/>
        </w:rPr>
        <w:t>poprawa.efektywnosci.energetycznej@samorzad.pl </w:t>
      </w: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§5) Wnosimy o to, aby odpowiedź w  przedmiocie powyższych pytań i petycji złożonych na mocy art. 63 Konstytucji RP - w związku z art.  241 KPA, została udzielona - </w:t>
      </w: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pl-PL"/>
        </w:rPr>
        <w:t>zwrotnie </w:t>
      </w: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na adres e-mail poprawa.efektywnosci.energetycznej@samorzad.pl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§6) Wniosek został sygnowany bezpiecznym, kwalifikowanym podpisem elektronicznym - stosownie do wytycznych Ustawy z dnia 5 września 2016 r. o usługach zaufania oraz identyfikacji elektronicznej (t.j. Dz. U. z 2019 r. poz. 162, 1590)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Współwnioskodawca: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Osoba Prawna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Szulc-Efekt sp. z o. o.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Prezes Zarządu - Adam Szulc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ul. Poligonowa 1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04-051 Warszawa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nr KRS: 0000059459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Kapitał Zakładowy: 222.000,00 pln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www.gmina.pl    www.samorzad.pl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Komentarz do Wniosku: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Adresat jest jednoznacznie identyfikowany - na podstawie - unikalnego adresu e-mail opublikowanego w Biuletynie Informacji Publicznej Jednostki i przypisanego do odnośnego Organu.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Rzeczony adres e-mail - zgodnie z dyspozycją art. 1 i 8 ustawy o dostępie do informacji publicznej - stanowiąc informację pewną i potwierdzoną - jednoznacznie oznacza adresata petycji/wniosku. (Oznaczenie adresata petycji/wniosku)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Pomimo, iż w rzeczonym wniosku powołujemy się na art. 241 Ustawy z dnia 14 czerwca 1960 r. Kodeks postępowania administracyjnego (t.j. Dz. U. z 2021 r. poz. 735 , 2052)   -  w naszym mniemaniu - nie oznacza to, że Urząd powinien rozpatrywać niniejsze wnioski w trybie KPA 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W opinii Wnioskodawcy Urząd powinien w zależności od dokonanej interpretacji treści pisma  - procedować nasze wnioski  -  w trybie Ustawy o petycjach (Dz.U.2014.1195 z dnia 2014.09.05)  lub odpowiednio Ustawy o dostępie do informacji publicznej (wynika to zazwyczaj z jego treści i powołanych podstaw prawnych).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Zatem - wg. Wnioskodawcy niniejszy wniosek może być jedynie fakultatywnie rozpatrywany - jako optymalizacyjny w związku z art. 241 KPA.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W naszych wnioskach/petycjach  często powołujemy sie na  wzmiankowany art. 241 KPA - scilicet: "Przedmiotem wniosku mogą być w szczególności sprawy ulepszenia organizacji, wzmocnienia praworządności, usprawnienia pracy i zapobiegania nadużyciom, ochrony własności, lepszego zaspokajania potrzeb ludności.” - w sensie możliwości otwarcia procedury sanacyjnej.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Każdy Podmiot mający styczność z Urzędem - ma prawo i obowiązek - usprawniać struktury administracji samorządowej i każdy Podmiot bez wyjątku ma obowiązek walczyć o lepszą przyszłość dla Polski.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Zatem pomimo formy zewnętrznej - Decydenci mogą/powinni dokonać własnej interpretacji  - zgodnie z brzmieniem art. 222 KPA.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Nazwa Wnioskodawca/Petycjodawca - jest dla uproszczenia stosowna jako synonim nazwy “Podmiot Wnoszący Petycję” - w rozumieniu art. 4 ust. 4 Ustawy o petycjach (Dz.U.2014.1195 z dnia 2014.09.05)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Pozwalamy sobie również przypomnieć, że  ipso iure art. 2 ust. 2 Ustawy o dostępie do informacji publicznej “ (…) Od osoby wykonującej prawo do informacji publicznej nie wolno żądać wykazania interesu prawnego lub faktycznego.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Wnioskodawca   - pro forma podpisał - niniejszy wniosek -  bezpiecznym kwalifikowanym podpisem elektronicznym  (w załączeniu stosowne pliki) - choć według aktualnego orzecznictwa brak podpisu elektronicznego nie powoduje bezprzedmiotowości wniosku, stosownie do orzeczenia: Naczelnego Sądu Administracyjnego w Warszawie I OSK 1277/08.  Podkreślamy jednocześnie, iż przedmiotowy wniosek traktujemy jako próbę usprawnienia organizacji działania Jednostek Administracji Publicznej  - w celu lepszego zaspokajania potrzeb ludności. Do wniosku dołączono plik podpisany bezpiecznym kwalifikowanym podpisem elektronicznym, zawiera on taką samą treść, jak ta która znajduje się w niniejszej wiadomości e-mail.  Weryfikacja podpisu i odczytanie pliku wymaga posiadania oprogramowania, które bez ponoszenia opłat, można uzyskać na stronach WWW podmiotów - zgodnie z ustawą, świadczących usługi certyfikacyjne.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Celem naszych wniosków jest - sensu largo - usprawnienie, naprawa - na miarę istniejących możliwości - funkcjonowania struktur Administracji Publicznej - głownie w Gminach/Miastach  - gdzie jak wynika z naszych wniosków - stan faktyczny wymaga wszczęcia procedur sanacyjnych.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pl-PL"/>
        </w:rPr>
        <w:t>W Jednostkach Pionu Administracji Rządowej - stan faktyczny jest o wiele lepszy.</w:t>
      </w: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 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Zwracamy uwagę, że Ustawodawca do tego stopnia stara się - poszerzyć spektrum możliwości porównywania cen i wyboru różnych opcji rynkowych oraz przeciwdziałać korupcji w Administracji Publicznej - że nakazał w §6 ust. 2 pkt. 2 załącznika nr 1 do Rozporządzenia Prezesa Rady Ministrów z dnia 18 stycznia 2011 r. w sprawie instrukcji kancelaryjnej, (…) (Dz. U. z dnia 20 stycznia 2011 r.) -  archiwizowanie, również wszystkich niezamówionych ofert, a co dopiero petycji i wniosków optymalizacyjnych. Cieszy nas ten fakt niemiernie, przyczyni się z pewnością do większej rozwagi w wydatkowaniu środków publicznych.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Duża ilość powoływanych przepisów prawa w przedmiotowym wniosku, wiąże się z tym, że chcemy uniknąć wyjaśniania intencji i podstaw prawnych w rozmowach telefonicznych - co rzadko, ale jednak, ciągle ma miejsce w przypadku nielicznych JST.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Jeżeli JST nie zgada się z powołanymi przepisami prawa, prosimy aby zastosowano podstawy prawne akceptowane przez JST.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Dobro Petenta i jawność życia publicznego jest naszym nadrzędnym celem, dlatego staramy się również upowszechniać zapisy Ustawowe dotyczące Wnioskowania. Kwestie te Ustawodawca podkreślił i uregulował w art. 63 Konstytucji RP: "Każdy ma prawo składać petycje, wnioski i skargi w interesie publicznym, własnym lub innej osoby za jej zgodą do organów władzy publicznej oraz do organizacji i instytucji społecznych w związku z wykonywanymi przez nie zadaniami zleconymi z zakresu administracji publicznej." oraz w art. 54 ust. 1 Konstytucji RP "Każdemu zapewnia się wolność wyrażania swoich poglądów oraz pozyskiwania i rozpowszechniania informacji."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Pamiętajmy również o przepisach zawartych inter alia: w art. 225 KPA: </w:t>
      </w:r>
      <w:r>
        <w:rPr>
          <w:rFonts w:eastAsia="Times New Roman" w:cs="Arial" w:ascii="Arial" w:hAnsi="Arial"/>
          <w:b/>
          <w:bCs/>
          <w:color w:val="000000"/>
          <w:sz w:val="20"/>
          <w:szCs w:val="20"/>
          <w:lang w:eastAsia="pl-PL"/>
        </w:rPr>
        <w:t>"§ 1. Nikt nie może być narażony na jakikolwiek uszczerbek lub zarzut z powodu złożenia skargi lub wniosku albo z powodu dostarczenia materiału do publikacji o znamionach skargi lub wniosku, jeżeli działał w granicach prawem dozwolonych. § 2. Organy państwowe, organy jednostek samorządu terytorialnego i inne organy samorządowe oraz organy organizacji społecznych są obowiązane przeciwdziałać hamowaniu krytyki i innym działaniom ograniczającym prawo do składania skarg i wniosków lub dostarczania informacji - do publikacji - o znamionach skargi lub wniosku."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Eksperci NIK piszą: "Niewielka liczba składanych wniosków o udzielenie informacji publicznej, liczba skarg złożonych do WSA, jak również liczba pozwów złożonych do sądów rejonowych, świadczyć może o braku zainteresowania w egzekwowaniu powszechnego prawa do informacji publicznej. Z drugiej strony, realizację tego prawa utrudniają podmioty zobowiązane do pełnej przejrzystości swojego działania, poprzez nieudostępnianie wymaganej informacji publicznej" [Protokół pokontrolny dostępny w sieci Internet: LBY-4101-09/2010]. Mamy nadzieję, zmienić powyższą ocenę, być może nasz wniosek choć w niewielkim stopniu – przyczyni się do zwiększenia tych wskaźników.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Postulujemy, ABY NASZA PETYCJA NIE BYŁA W ŻADNYM RAZIE ŁĄCZONA Z PÓŹNIEJSZYM jakimkolwiek trybem zamówienia  nie musimy dodawać, że mamy nadzieję, iż wszelkie postępowania będą  prowadzone z uwzględnieniem zasad uczciwej konkurencji - i o wyborze oferenta będą decydować jedynie ustalone przez decydentów kryteria związane inter alia z parametrami ofert oraz ceną.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Oczywiście - wszelkie ewentualne postępowania - ogłoszone przez Jednostkę Administracji Publicznej - będące następstwem niniejszego wniosku - należy przeprowadzić zgodnie z rygorystycznymi zasadami wydatkowania środków publicznych -  z uwzględnieniem stosowania zasad uczciwej konkurencji, przejrzystości i transparentności -  zatem w pełni lege artis.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  <w:t>Ponownie sygnalizujemy, że do wniosku dołączono plik podpisany bezpiecznym kwalifikowanym podpisem elektronicznym.  Weryfikacja podpisu i odczytanie pliku wymaga posiadania oprogramowania, które bez ponoszenia opłat, można uzyskać na stronach WWW podmiotów - zgodnie z ustawą, świadczących usługi certyfikacyjne. </w:t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Arial" w:hAnsi="Arial" w:eastAsia="Times New Roman" w:cs="Arial"/>
          <w:color w:val="000000"/>
          <w:sz w:val="20"/>
          <w:szCs w:val="20"/>
          <w:lang w:eastAsia="pl-PL"/>
        </w:rPr>
      </w:pPr>
      <w:r>
        <w:rPr>
          <w:rFonts w:eastAsia="Times New Roman" w:cs="Arial" w:ascii="Arial" w:hAnsi="Arial"/>
          <w:color w:val="000000"/>
          <w:sz w:val="20"/>
          <w:szCs w:val="20"/>
          <w:lang w:eastAsia="pl-PL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pl-PL"/>
        </w:rPr>
      </w:r>
    </w:p>
    <w:p>
      <w:pPr>
        <w:pStyle w:val="Normal"/>
        <w:jc w:val="both"/>
        <w:rPr>
          <w:sz w:val="20"/>
          <w:szCs w:val="20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qFormat/>
    <w:rsid w:val="00c92bd1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LibreOffice/7.1.4.2$Windows_X86_64 LibreOffice_project/a529a4fab45b75fefc5b6226684193eb000654f6</Application>
  <AppVersion>15.0000</AppVersion>
  <Pages>3</Pages>
  <Words>1499</Words>
  <Characters>9126</Characters>
  <CharactersWithSpaces>10663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2022-05-04T08:47:00Z</dcterms:created>
  <dc:creator>Adam Szulc</dc:creator>
  <dc:description/>
  <dc:language>pl-PL</dc:language>
  <cp:lastModifiedBy/>
  <dcterms:modified xsi:type="dcterms:W3CDTF">2022-05-19T11:55:17Z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