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977" w:rsidRPr="00C05977" w:rsidRDefault="00C05977" w:rsidP="00C0597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eastAsia="pl-PL"/>
        </w:rPr>
      </w:pPr>
      <w:r w:rsidRPr="00C05977">
        <w:rPr>
          <w:rFonts w:ascii="Arial" w:eastAsia="Times New Roman" w:hAnsi="Arial" w:cs="Arial"/>
          <w:b/>
          <w:color w:val="000000"/>
          <w:lang w:eastAsia="pl-PL"/>
        </w:rPr>
        <w:t>Załącznik nr 1–</w:t>
      </w:r>
    </w:p>
    <w:p w:rsidR="00C05977" w:rsidRPr="00C05977" w:rsidRDefault="00C05977" w:rsidP="00C0597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:rsidR="00C05977" w:rsidRPr="00C05977" w:rsidRDefault="00C05977" w:rsidP="00C0597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lang w:eastAsia="ar-SA"/>
        </w:rPr>
      </w:pPr>
      <w:bookmarkStart w:id="0" w:name="_Hlk170741273"/>
      <w:r w:rsidRPr="00C05977">
        <w:rPr>
          <w:rFonts w:ascii="Arial" w:eastAsia="Calibri" w:hAnsi="Arial" w:cs="Arial"/>
          <w:b/>
          <w:lang w:eastAsia="ar-SA"/>
        </w:rPr>
        <w:t>Szczegółowy Opis Przedmiotu Zamówienia</w:t>
      </w:r>
    </w:p>
    <w:bookmarkEnd w:id="0"/>
    <w:p w:rsidR="00C05977" w:rsidRPr="00C05977" w:rsidRDefault="00C05977" w:rsidP="00C0597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lang w:eastAsia="ar-SA"/>
        </w:rPr>
      </w:pPr>
    </w:p>
    <w:p w:rsidR="00C05977" w:rsidRPr="00C05977" w:rsidRDefault="00C05977" w:rsidP="00C0597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/>
          <w:lang w:eastAsia="ar-SA"/>
        </w:rPr>
      </w:pPr>
    </w:p>
    <w:p w:rsidR="00C05977" w:rsidRPr="00C05977" w:rsidRDefault="00C05977" w:rsidP="00C05977">
      <w:pPr>
        <w:numPr>
          <w:ilvl w:val="3"/>
          <w:numId w:val="1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 xml:space="preserve">W ramach zamówienia Wykonawca zobowiązuje się do przygotowania diagnozy obszaru całej gminy zgodnie z zapisami rozdziału 3 ustawy o rewitalizacji oraz gminnego programu rewitalizacji, o którym mowa w rozdz. 4 ustawy z dnia 9 października 2015 r. o rewitalizacji, pełniącego rolę Innego instrumentu terytorialnego, zwanego dalej IIT, o którym mowa w art. 28 i art. 29 rozporządzenia ogólnego oraz w art. 36 ustawy z dnia 28 kwietnia 2022 r. o zasadach realizacji zadań finansowanych ze środków europejskich w perspektywie finansowej 2021–2027. Zakres zadań do realizacji obejmuje w </w:t>
      </w:r>
      <w:r w:rsidRPr="00C05977">
        <w:rPr>
          <w:rFonts w:ascii="Arial" w:eastAsia="Calibri" w:hAnsi="Arial" w:cs="Arial"/>
          <w:lang w:eastAsia="ar-SA"/>
        </w:rPr>
        <w:t>szczególności:</w:t>
      </w:r>
    </w:p>
    <w:p w:rsidR="00C05977" w:rsidRPr="00C05977" w:rsidRDefault="00C05977" w:rsidP="00C05977">
      <w:pPr>
        <w:numPr>
          <w:ilvl w:val="0"/>
          <w:numId w:val="9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opracowanie diagnozy w celu wyznaczenia obszaru zdegradowanego i obszaru rewitalizacji wraz z projektem uchwały w sprawie wyznaczenia tych obszarów,</w:t>
      </w:r>
    </w:p>
    <w:p w:rsidR="00C05977" w:rsidRPr="00C05977" w:rsidRDefault="00C05977" w:rsidP="00C05977">
      <w:pPr>
        <w:numPr>
          <w:ilvl w:val="0"/>
          <w:numId w:val="9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opracowanie dokumentu GPR, w tym:</w:t>
      </w:r>
    </w:p>
    <w:p w:rsidR="00C05977" w:rsidRPr="00C05977" w:rsidRDefault="00C05977" w:rsidP="00C05977">
      <w:pPr>
        <w:numPr>
          <w:ilvl w:val="0"/>
          <w:numId w:val="10"/>
        </w:numPr>
        <w:tabs>
          <w:tab w:val="num" w:pos="993"/>
        </w:tabs>
        <w:suppressAutoHyphens/>
        <w:autoSpaceDE w:val="0"/>
        <w:autoSpaceDN w:val="0"/>
        <w:adjustRightInd w:val="0"/>
        <w:spacing w:after="0" w:line="276" w:lineRule="auto"/>
        <w:ind w:left="1134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 xml:space="preserve">diagnozy szczegółowej obszaru rewitalizacji w sferze społecznej, gospodarczej, technicznej, środowiskowej i przestrzenno-funkcjonalnej, </w:t>
      </w:r>
    </w:p>
    <w:p w:rsidR="00C05977" w:rsidRPr="00C05977" w:rsidRDefault="00C05977" w:rsidP="00C05977">
      <w:pPr>
        <w:numPr>
          <w:ilvl w:val="0"/>
          <w:numId w:val="10"/>
        </w:numPr>
        <w:tabs>
          <w:tab w:val="num" w:pos="993"/>
        </w:tabs>
        <w:suppressAutoHyphens/>
        <w:autoSpaceDE w:val="0"/>
        <w:autoSpaceDN w:val="0"/>
        <w:adjustRightInd w:val="0"/>
        <w:spacing w:after="0" w:line="276" w:lineRule="auto"/>
        <w:ind w:left="1134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części strategicznej i zarządczej GPR, z opracowaniem koncepcji przedsięwzięć rewitalizacyjnych umożliwiających pozyskanie dofinansowania ze środków europejskich w perspektywie finansowej 2021 – 2027</w:t>
      </w:r>
    </w:p>
    <w:p w:rsidR="00C05977" w:rsidRPr="00C05977" w:rsidRDefault="00C05977" w:rsidP="00C05977">
      <w:pPr>
        <w:numPr>
          <w:ilvl w:val="0"/>
          <w:numId w:val="10"/>
        </w:numPr>
        <w:tabs>
          <w:tab w:val="num" w:pos="993"/>
        </w:tabs>
        <w:suppressAutoHyphens/>
        <w:autoSpaceDE w:val="0"/>
        <w:autoSpaceDN w:val="0"/>
        <w:adjustRightInd w:val="0"/>
        <w:spacing w:after="0" w:line="276" w:lineRule="auto"/>
        <w:ind w:left="1134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 xml:space="preserve">załącznika mapowego do GPR – podstawowe kierunki zmian przestrzenno-funkcjonalnych obszaru rewitalizacji, </w:t>
      </w:r>
    </w:p>
    <w:p w:rsidR="00C05977" w:rsidRPr="00C05977" w:rsidRDefault="00C05977" w:rsidP="00C05977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76" w:lineRule="auto"/>
        <w:ind w:hanging="642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opracowanie projektu uchwały w sprawie zasad wyznaczania oraz zasad działania Komitetu Rewitalizacji,</w:t>
      </w:r>
    </w:p>
    <w:p w:rsidR="00C05977" w:rsidRPr="00C05977" w:rsidRDefault="00C05977" w:rsidP="00C05977">
      <w:pPr>
        <w:numPr>
          <w:ilvl w:val="0"/>
          <w:numId w:val="9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color w:val="000000"/>
          <w:lang w:eastAsia="ar-SA"/>
        </w:rPr>
        <w:t>przeprowadzenie w imieniu Zamawiającego procesu konsultacji społecznych:</w:t>
      </w:r>
    </w:p>
    <w:p w:rsidR="00C05977" w:rsidRPr="00C05977" w:rsidRDefault="00C05977" w:rsidP="00C05977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color w:val="000000"/>
          <w:lang w:eastAsia="ar-SA"/>
        </w:rPr>
        <w:t>projektu uchwały w sprawie wyznaczenia obszaru zdegradowanego i obszaru rewitalizacji,</w:t>
      </w:r>
    </w:p>
    <w:p w:rsidR="00C05977" w:rsidRPr="00C05977" w:rsidRDefault="00C05977" w:rsidP="00C05977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color w:val="000000"/>
          <w:lang w:eastAsia="ar-SA"/>
        </w:rPr>
        <w:t>projektu uchwały w sprawie wyznaczenia składu oraz działania Komitetu Rewitalizacji,</w:t>
      </w:r>
    </w:p>
    <w:p w:rsidR="00C05977" w:rsidRPr="00C05977" w:rsidRDefault="00C05977" w:rsidP="00C05977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color w:val="000000"/>
          <w:lang w:eastAsia="ar-SA"/>
        </w:rPr>
        <w:t>projektu GPR;</w:t>
      </w:r>
    </w:p>
    <w:p w:rsidR="00C05977" w:rsidRPr="00C05977" w:rsidRDefault="00C05977" w:rsidP="00C05977">
      <w:pPr>
        <w:numPr>
          <w:ilvl w:val="0"/>
          <w:numId w:val="9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color w:val="000000"/>
          <w:lang w:eastAsia="ar-SA"/>
        </w:rPr>
        <w:t>asystowanie Zamawiającemu w procesie opiniowania projektu dokumentu GPR (przygotowanie pism przewodnich/wniosków, przygotowywanie odpowiedzi/stanowisk na wezwanie organów opiniujących itp.),</w:t>
      </w:r>
    </w:p>
    <w:p w:rsidR="00C05977" w:rsidRPr="00C05977" w:rsidRDefault="00C05977" w:rsidP="00C05977">
      <w:pPr>
        <w:numPr>
          <w:ilvl w:val="0"/>
          <w:numId w:val="9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color w:val="000000"/>
          <w:lang w:eastAsia="ar-SA"/>
        </w:rPr>
        <w:t xml:space="preserve">asystowanie Zamawiającemu w procesie przeprowadzenia strategicznej oceny oddziaływania na środowisko (o ile będzie to zasadne), zgodnie z obowiązującymi </w:t>
      </w:r>
      <w:r w:rsidRPr="00C05977">
        <w:rPr>
          <w:rFonts w:ascii="Arial" w:eastAsia="Calibri" w:hAnsi="Arial" w:cs="Arial"/>
          <w:color w:val="000000"/>
          <w:lang w:eastAsia="ar-SA"/>
        </w:rPr>
        <w:br/>
        <w:t>w tym zakresie przepisami (przygotowanie pism przewodnich/</w:t>
      </w:r>
      <w:r w:rsidRPr="00C05977">
        <w:rPr>
          <w:rFonts w:ascii="Arial" w:eastAsia="Calibri" w:hAnsi="Arial" w:cs="Arial"/>
          <w:color w:val="000000"/>
          <w:lang w:eastAsia="ar-SA"/>
        </w:rPr>
        <w:br/>
        <w:t xml:space="preserve">wniosków, przygotowywanie odpowiedzi/stanowisk na wezwanie organów opiniujących/uzgadniających, przygotowanie </w:t>
      </w:r>
      <w:proofErr w:type="spellStart"/>
      <w:r w:rsidRPr="00C05977">
        <w:rPr>
          <w:rFonts w:ascii="Arial" w:eastAsia="Calibri" w:hAnsi="Arial" w:cs="Arial"/>
          <w:color w:val="000000"/>
          <w:lang w:eastAsia="ar-SA"/>
        </w:rPr>
        <w:t>obwieszczeń</w:t>
      </w:r>
      <w:proofErr w:type="spellEnd"/>
      <w:r w:rsidRPr="00C05977">
        <w:rPr>
          <w:rFonts w:ascii="Arial" w:eastAsia="Calibri" w:hAnsi="Arial" w:cs="Arial"/>
          <w:color w:val="000000"/>
          <w:lang w:eastAsia="ar-SA"/>
        </w:rPr>
        <w:t>/ogłoszeń itp.),</w:t>
      </w:r>
    </w:p>
    <w:p w:rsidR="00C05977" w:rsidRPr="00C05977" w:rsidRDefault="00C05977" w:rsidP="00C05977">
      <w:pPr>
        <w:numPr>
          <w:ilvl w:val="0"/>
          <w:numId w:val="9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asystowanie Zamawiającemu w przeprowadzeniu procesu weryfikacji przez Urząd Marszałkowski dokumentu GPR (przygotowanie dokumentacji do przekazania do Urzędu Marszałkowskiego, naniesienie korekt na wezwanie Urzędu Marszałkowskiego w terminie wyznaczonym przez zamawiającego)</w:t>
      </w:r>
      <w:r w:rsidRPr="00C05977">
        <w:rPr>
          <w:rFonts w:ascii="Arial" w:eastAsia="Calibri" w:hAnsi="Arial" w:cs="Arial"/>
          <w:color w:val="000000"/>
          <w:lang w:eastAsia="ar-SA"/>
        </w:rPr>
        <w:t>.</w:t>
      </w:r>
    </w:p>
    <w:p w:rsidR="00C05977" w:rsidRPr="00C05977" w:rsidRDefault="00C05977" w:rsidP="00C05977">
      <w:pPr>
        <w:numPr>
          <w:ilvl w:val="3"/>
          <w:numId w:val="1"/>
        </w:numPr>
        <w:suppressAutoHyphens/>
        <w:autoSpaceDE w:val="0"/>
        <w:autoSpaceDN w:val="0"/>
        <w:adjustRightInd w:val="0"/>
        <w:spacing w:after="0" w:line="276" w:lineRule="auto"/>
        <w:ind w:hanging="2094"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Przedmiot umowy będzie realizowany w trzech etapach:</w:t>
      </w:r>
    </w:p>
    <w:p w:rsidR="00C05977" w:rsidRPr="00C05977" w:rsidRDefault="00C05977" w:rsidP="00C05977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lang w:eastAsia="ar-SA"/>
        </w:rPr>
      </w:pPr>
      <w:bookmarkStart w:id="1" w:name="_Hlk119668450"/>
      <w:r w:rsidRPr="00C05977">
        <w:rPr>
          <w:rFonts w:ascii="Arial" w:eastAsia="Calibri" w:hAnsi="Arial" w:cs="Arial"/>
          <w:lang w:eastAsia="ar-SA"/>
        </w:rPr>
        <w:t>ETAP I – przygotowanie diagnozy w celu wyznaczenia obszaru zdegradowanego i obszaru rewitalizacji wraz z projektem uchwały i przeprowadzeniem konsultacji społecznych, zakończony przekazaniem projektu uchwały złożonej do Rady Gminy,</w:t>
      </w:r>
    </w:p>
    <w:p w:rsidR="00C05977" w:rsidRPr="00C05977" w:rsidRDefault="00C05977" w:rsidP="00C05977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lastRenderedPageBreak/>
        <w:t>ETAP II - przygotowanie projektu GPR – wraz z przeprowadzeniem konsultacji społecznych oraz opiniowaniem GPR, a także strategiczną oceną oddziaływania na środowisko projektu GPR (o ile będzie to zasadne), zakończony przekazaniem projektu uchwały w sprawie przyjęcia GPR złożonej do Rady Gminy,</w:t>
      </w:r>
    </w:p>
    <w:p w:rsidR="00C05977" w:rsidRPr="00C05977" w:rsidRDefault="00C05977" w:rsidP="00C05977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ETAP III – opracowanie projektu uchwały w sprawie zasad wyboru oraz zasad działania Komitetu Rewitalizacji wraz z konsultacjami oraz przedłożeniem GPR do weryfikacji przez Urząd Marszałkowski, zakończony uzyskaniem wpisu do Wykazu programów rewitalizacji.</w:t>
      </w:r>
    </w:p>
    <w:bookmarkEnd w:id="1"/>
    <w:p w:rsidR="00C05977" w:rsidRPr="00C05977" w:rsidRDefault="00C05977" w:rsidP="00C05977">
      <w:pPr>
        <w:numPr>
          <w:ilvl w:val="3"/>
          <w:numId w:val="1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Przygotowanie diagnozy służącej wyznaczeniu obszaru zdegradowanego i obszaru rewitalizacji będzie obejmowało:</w:t>
      </w:r>
    </w:p>
    <w:p w:rsidR="00C05977" w:rsidRPr="00C05977" w:rsidRDefault="00C05977" w:rsidP="00C05977">
      <w:pPr>
        <w:numPr>
          <w:ilvl w:val="0"/>
          <w:numId w:val="2"/>
        </w:numPr>
        <w:tabs>
          <w:tab w:val="clear" w:pos="360"/>
        </w:tabs>
        <w:suppressAutoHyphens/>
        <w:autoSpaceDE w:val="0"/>
        <w:spacing w:after="0" w:line="276" w:lineRule="auto"/>
        <w:ind w:left="709" w:hanging="283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Przeprowadzenie pełnej diagnozy całego obszaru gminy w układzie jednostek przestrzennych wskazanych przez Wykonawcę. Przeprowadzenie analizy i diagnozy zróżnicowania sytuacji w sferze społecznej (badanie natężenia koncentracji negatywnych zjawisk o których mowa w art. 9 ust. 1 ustawy o rewitalizacji) wskazanie miejsc występowania tych zjawisk oraz terenów cechujących się koncentracją kryzysu społecznego, współwystępującego z negatywnymi zjawiskami z innych sfer: gospodarczej, środowiskowej, przestrzenno-funkcjonalnej, technicznej (art. 9 ust. 1 pkt 1-4 ustawy). Dane niezbędne do przeprowadzenia analiz i diagnoz pozyskane zostaną przez Wykonawcę przy współudziale Zamawiającego.</w:t>
      </w:r>
    </w:p>
    <w:p w:rsidR="00C05977" w:rsidRPr="00C05977" w:rsidRDefault="00C05977" w:rsidP="00C05977">
      <w:pPr>
        <w:numPr>
          <w:ilvl w:val="0"/>
          <w:numId w:val="2"/>
        </w:numPr>
        <w:tabs>
          <w:tab w:val="clear" w:pos="360"/>
        </w:tabs>
        <w:suppressAutoHyphens/>
        <w:autoSpaceDE w:val="0"/>
        <w:spacing w:after="0" w:line="276" w:lineRule="auto"/>
        <w:ind w:left="709" w:hanging="283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Wyznaczenie obszaru zdegradowanego – wskazanie obszaru będącego w stanie kryzysowym z powodu koncentracji negatywnych zjawisk społecznych oraz co najmniej jednego negatywnego zjawiska w sferze gospodarczej, środowiskowej, przestrzenno-funkcjonalnej lub technicznej (art. 9 ust. 1 pkt 1-4 ustawy). Na etapie delimitacji Wykonawca winien uwzględnić możliwość podziału obszaru zdegradowanego na podobszary, w tym nieposiadające ze sobą wspólnych granic (art. 9 ust. 2). Obszar zdegradowany wyznaczony zostanie w oparciu o wcześniej przeprowadzone analizy i diagnozy gminy.</w:t>
      </w:r>
    </w:p>
    <w:p w:rsidR="00C05977" w:rsidRPr="00C05977" w:rsidRDefault="00C05977" w:rsidP="00C05977">
      <w:pPr>
        <w:numPr>
          <w:ilvl w:val="0"/>
          <w:numId w:val="2"/>
        </w:numPr>
        <w:tabs>
          <w:tab w:val="clear" w:pos="360"/>
        </w:tabs>
        <w:suppressAutoHyphens/>
        <w:autoSpaceDE w:val="0"/>
        <w:spacing w:after="0" w:line="276" w:lineRule="auto"/>
        <w:ind w:left="709" w:hanging="283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Wyznaczenie obszaru rewitalizacji – przeprowadzenie pogłębionej, szczegółowej analizy i diagnozy koncentracji negatywnych zjawisk zidentyfikowanych na obszarze zdegradowanym wraz z analizą wewnętrznych potencjałów obszaru istotnego z punktu widzenia rozwoju lokalnego. Obszar rewitalizacji nie może być większy niż 20% powierzchni gminy oraz zamieszkały przez więcej niż 30% liczby mieszkańców. Ponadto na etapie delimitacji Wykonawca winien uwzględnić możliwość podziału obszaru na podobszary (w tym nie posiadające wspólnych granic), a także uwzględnić możliwość włączenia do obszaru rewitalizacji niezamieszkałych obszarów poprzemysłowych (</w:t>
      </w:r>
      <w:proofErr w:type="spellStart"/>
      <w:r w:rsidRPr="00C05977">
        <w:rPr>
          <w:rFonts w:ascii="Arial" w:eastAsia="Calibri" w:hAnsi="Arial" w:cs="Arial"/>
          <w:lang w:eastAsia="ar-SA"/>
        </w:rPr>
        <w:t>poportowych</w:t>
      </w:r>
      <w:proofErr w:type="spellEnd"/>
      <w:r w:rsidRPr="00C05977">
        <w:rPr>
          <w:rFonts w:ascii="Arial" w:eastAsia="Calibri" w:hAnsi="Arial" w:cs="Arial"/>
          <w:lang w:eastAsia="ar-SA"/>
        </w:rPr>
        <w:t xml:space="preserve"> i </w:t>
      </w:r>
      <w:proofErr w:type="spellStart"/>
      <w:r w:rsidRPr="00C05977">
        <w:rPr>
          <w:rFonts w:ascii="Arial" w:eastAsia="Calibri" w:hAnsi="Arial" w:cs="Arial"/>
          <w:lang w:eastAsia="ar-SA"/>
        </w:rPr>
        <w:t>powydobywczych</w:t>
      </w:r>
      <w:proofErr w:type="spellEnd"/>
      <w:r w:rsidRPr="00C05977">
        <w:rPr>
          <w:rFonts w:ascii="Arial" w:eastAsia="Calibri" w:hAnsi="Arial" w:cs="Arial"/>
          <w:lang w:eastAsia="ar-SA"/>
        </w:rPr>
        <w:t xml:space="preserve">), terenów powojskowych lub </w:t>
      </w:r>
      <w:proofErr w:type="spellStart"/>
      <w:r w:rsidRPr="00C05977">
        <w:rPr>
          <w:rFonts w:ascii="Arial" w:eastAsia="Calibri" w:hAnsi="Arial" w:cs="Arial"/>
          <w:lang w:eastAsia="ar-SA"/>
        </w:rPr>
        <w:t>pokolejowych</w:t>
      </w:r>
      <w:proofErr w:type="spellEnd"/>
      <w:r w:rsidRPr="00C05977">
        <w:rPr>
          <w:rFonts w:ascii="Arial" w:eastAsia="Calibri" w:hAnsi="Arial" w:cs="Arial"/>
          <w:lang w:eastAsia="ar-SA"/>
        </w:rPr>
        <w:t xml:space="preserve"> (art. 10 ust. 2 i 3 ustawy). </w:t>
      </w:r>
    </w:p>
    <w:p w:rsidR="00C05977" w:rsidRPr="00C05977" w:rsidRDefault="00C05977" w:rsidP="00C05977">
      <w:pPr>
        <w:numPr>
          <w:ilvl w:val="0"/>
          <w:numId w:val="2"/>
        </w:numPr>
        <w:tabs>
          <w:tab w:val="clear" w:pos="360"/>
        </w:tabs>
        <w:suppressAutoHyphens/>
        <w:autoSpaceDE w:val="0"/>
        <w:spacing w:after="0" w:line="276" w:lineRule="auto"/>
        <w:ind w:left="709" w:hanging="283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>Opracowanie mapy zawierającej wskazanie granic obszaru zdegradowanego i obszaru rewitalizacji w skali co najmniej 1:5000 sporządzonej z wykorzystaniem treści mapy zasadniczej (art. 11 ust. 1). Na potrzeby wpisu do regionalnego wykazu programów rewitalizacji należy opracować mapy z granicami obszaru zdegradowanego i rewitalizacji w wersji wektorowej – w formacie np. SHP, DXF, posiadające reprezentację geometryczną określoną w obowiązującym państwowym systemie odniesień przestrzennych (np. układ PL-1992 lub PL-2000).</w:t>
      </w:r>
    </w:p>
    <w:p w:rsidR="00C05977" w:rsidRPr="00C05977" w:rsidRDefault="00C05977" w:rsidP="00C05977">
      <w:pPr>
        <w:numPr>
          <w:ilvl w:val="0"/>
          <w:numId w:val="2"/>
        </w:numPr>
        <w:tabs>
          <w:tab w:val="clear" w:pos="360"/>
        </w:tabs>
        <w:suppressAutoHyphens/>
        <w:autoSpaceDE w:val="0"/>
        <w:spacing w:after="0" w:line="276" w:lineRule="auto"/>
        <w:ind w:left="709" w:hanging="283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 xml:space="preserve">Przygotowanie projektu uchwały w sprawie wyznaczenia obszaru zdegradowanego i obszaru rewitalizacji wraz z załącznikami mapowymi. </w:t>
      </w:r>
    </w:p>
    <w:p w:rsidR="00C05977" w:rsidRPr="00C05977" w:rsidRDefault="00C05977" w:rsidP="00C05977">
      <w:pPr>
        <w:numPr>
          <w:ilvl w:val="3"/>
          <w:numId w:val="1"/>
        </w:numPr>
        <w:tabs>
          <w:tab w:val="num" w:pos="709"/>
        </w:tabs>
        <w:suppressAutoHyphens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 xml:space="preserve">Przygotowanie gminnego programu rewitalizacji pełniącego rolę IIT zostanie dokonane poprzez sporządzenie </w:t>
      </w:r>
      <w:r w:rsidRPr="00C05977">
        <w:rPr>
          <w:rFonts w:ascii="Arial" w:eastAsia="Times New Roman" w:hAnsi="Arial" w:cs="Arial"/>
          <w:i/>
          <w:lang w:eastAsia="pl-PL"/>
        </w:rPr>
        <w:t>„Gminnego Programu Rewitalizacji Gminy Chotcza”</w:t>
      </w:r>
      <w:r w:rsidRPr="00C05977">
        <w:rPr>
          <w:rFonts w:ascii="Arial" w:eastAsia="Times New Roman" w:hAnsi="Arial" w:cs="Arial"/>
          <w:iCs/>
          <w:lang w:eastAsia="pl-PL"/>
        </w:rPr>
        <w:t xml:space="preserve">, zwanego </w:t>
      </w:r>
      <w:r w:rsidRPr="00C05977">
        <w:rPr>
          <w:rFonts w:ascii="Arial" w:eastAsia="Times New Roman" w:hAnsi="Arial" w:cs="Arial"/>
          <w:iCs/>
          <w:lang w:eastAsia="pl-PL"/>
        </w:rPr>
        <w:lastRenderedPageBreak/>
        <w:t>dalej GPR</w:t>
      </w:r>
      <w:r w:rsidRPr="00C05977">
        <w:rPr>
          <w:rFonts w:ascii="Arial" w:eastAsia="Times New Roman" w:hAnsi="Arial" w:cs="Arial"/>
          <w:lang w:eastAsia="pl-PL"/>
        </w:rPr>
        <w:t>, zgodnie z postanowieniami ustawy z dnia 9 października 2015 r. o rewitalizacji oraz ustawy o zasadach realizacji zadań finansowanych ze środków europejskich w perspektywie finansowej 2021 – 2027, obejmującego: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 xml:space="preserve">przeprowadzenie szczegółowej diagnozy czynników i zjawisk kryzysowych oraz diagnozy lokalnych potencjałów poprzez wskazanie potrzeb rewitalizacyjnych występujących na obszarze rewitalizacji – w oparciu o bieżące uwarunkowania rozwojowe i dane statystyczne nie starsze niż z 2021 r.; 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 xml:space="preserve">dokonanie opisu powiązań GPR z dokumentami strategicznymi gminy, w tym: </w:t>
      </w:r>
      <w:proofErr w:type="spellStart"/>
      <w:r w:rsidRPr="00C05977">
        <w:rPr>
          <w:rFonts w:ascii="Arial" w:eastAsia="Times New Roman" w:hAnsi="Arial" w:cs="Arial"/>
          <w:lang w:eastAsia="pl-PL"/>
        </w:rPr>
        <w:t>suikzp</w:t>
      </w:r>
      <w:proofErr w:type="spellEnd"/>
      <w:r w:rsidRPr="00C05977">
        <w:rPr>
          <w:rFonts w:ascii="Arial" w:eastAsia="Times New Roman" w:hAnsi="Arial" w:cs="Arial"/>
          <w:lang w:eastAsia="pl-PL"/>
        </w:rPr>
        <w:t>, strategii rozwoju gminy i strategii rozwiązywania problemów społecznych;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opracowanie opisu wizji stanu obszaru po przeprowadzeniu rewitalizacji;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opracowanie celów rewitalizacji oraz odpowiadających im kierunków działań służących eliminacji lub ograniczeniu negatywnych zjawisk;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opracowanie opisu przedsięwzięć rewitalizacyjnych, w szczególności o charakterze społecznym oraz gospodarczym, środowiskowym, przestrzenno-funkcjonalnym lub technicznym, ujętych w ramach:</w:t>
      </w:r>
    </w:p>
    <w:p w:rsidR="00C05977" w:rsidRPr="00C05977" w:rsidRDefault="00C05977" w:rsidP="00C05977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76" w:lineRule="auto"/>
        <w:ind w:left="127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 xml:space="preserve">listy planowanych </w:t>
      </w:r>
      <w:r w:rsidRPr="00C05977">
        <w:rPr>
          <w:rFonts w:ascii="Arial" w:eastAsia="Times New Roman" w:hAnsi="Arial" w:cs="Arial"/>
          <w:color w:val="000000"/>
          <w:lang w:eastAsia="pl-PL"/>
        </w:rPr>
        <w:t>podstawowych przedsięwzięć rewitalizacyjnych, wraz z ich opisami zawierającymi w odniesieniu do każdego przedsięwzięcia: nazwy i wskazanie podmiotów je realizujących, zakresu realizowanych zadań, lokalizacji, szacowanej wartości, prognozowanych rezultaty wraz ze sposobem ich oceny w odniesieniu do celów GPR, opisu działań zapewniających dostępność osobom ze szczególnymi potrzebami, o których mowa w</w:t>
      </w:r>
      <w:r w:rsidRPr="00C05977">
        <w:rPr>
          <w:rFonts w:ascii="Arial" w:eastAsia="Times New Roman" w:hAnsi="Arial" w:cs="Arial"/>
          <w:lang w:eastAsia="pl-PL"/>
        </w:rPr>
        <w:t xml:space="preserve"> ustawie </w:t>
      </w:r>
      <w:r w:rsidRPr="00C05977">
        <w:rPr>
          <w:rFonts w:ascii="Arial" w:eastAsia="Times New Roman" w:hAnsi="Arial" w:cs="Arial"/>
          <w:color w:val="000000"/>
          <w:lang w:eastAsia="pl-PL"/>
        </w:rPr>
        <w:t>z dnia 19 lipca 2019 r. o zapewnianiu dostępności osobom ze szczególnymi potrzebami, o ile dane te są możliwe do wskazania,</w:t>
      </w:r>
    </w:p>
    <w:p w:rsidR="00C05977" w:rsidRPr="00C05977" w:rsidRDefault="00C05977" w:rsidP="00C05977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76" w:lineRule="auto"/>
        <w:ind w:left="127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listy pozostałych dopuszczalnych przedsięwzięć rewitalizacyjnych, realizujących kierunki działań służących eliminacji lub ograniczeniu negatywnych zjawisk;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określenie mechanizmów integrowania działań, o których mowa w art. 15 ust 1 pkt 4 Ustawy o rewitalizacji oraz przedsięwzięć rewitalizacyjnych;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określenie szacunkowych ram finansowych wraz z szacunkowym wskazaniem środków finansowych ze źródeł publicznych i prywatnych;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opracowanie opisu struktury zarządzania realizacją GPR, ze wskazaniem kosztów zarządzania i ramowym harmonogramem realizacji GPR;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05977">
        <w:rPr>
          <w:rFonts w:ascii="Arial" w:eastAsia="Times New Roman" w:hAnsi="Arial" w:cs="Arial"/>
          <w:lang w:eastAsia="pl-PL"/>
        </w:rPr>
        <w:t>opracowanie systemu monitorowania i oceny GPR;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określenie niezbędnych zmian w uchwałach, o których mowa w </w:t>
      </w:r>
      <w:hyperlink r:id="rId5" w:anchor="/document/16903658?unitId=art(21)ust(1)&amp;cm=DOCUMENT" w:history="1">
        <w:r w:rsidRPr="00C05977">
          <w:rPr>
            <w:rFonts w:ascii="Arial" w:eastAsia="Times New Roman" w:hAnsi="Arial" w:cs="Arial"/>
            <w:color w:val="000000"/>
            <w:u w:val="single"/>
            <w:lang w:eastAsia="pl-PL"/>
          </w:rPr>
          <w:t>art. 21 ust. 1</w:t>
        </w:r>
      </w:hyperlink>
      <w:r w:rsidRPr="00C05977">
        <w:rPr>
          <w:rFonts w:ascii="Arial" w:eastAsia="Times New Roman" w:hAnsi="Arial" w:cs="Arial"/>
          <w:color w:val="000000"/>
          <w:lang w:eastAsia="pl-PL"/>
        </w:rPr>
        <w:t xml:space="preserve"> ustaw z dnia 21 czerwca 2001 r. o ochronie praw lokatorów, mieszkaniowym zasobie gminy </w:t>
      </w:r>
      <w:r w:rsidRPr="00C05977">
        <w:rPr>
          <w:rFonts w:ascii="Arial" w:eastAsia="Times New Roman" w:hAnsi="Arial" w:cs="Arial"/>
          <w:color w:val="000000"/>
          <w:lang w:eastAsia="pl-PL"/>
        </w:rPr>
        <w:br/>
        <w:t>i o zmianie Kodeksu cywilnego (Dz. U. z 2020 r. poz. 611 oraz z 2021 r. poz. 11);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określenie niezbędnych zmian w uchwale, o której mowa w art. 7 ust. 3 ustawy </w:t>
      </w:r>
      <w:r w:rsidRPr="00C05977">
        <w:rPr>
          <w:rFonts w:ascii="Arial" w:eastAsia="Times New Roman" w:hAnsi="Arial" w:cs="Arial"/>
          <w:color w:val="000000"/>
          <w:lang w:eastAsia="pl-PL"/>
        </w:rPr>
        <w:br/>
        <w:t>o rewitalizacji;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wskazanie, czy na obszarze rewitalizacji ma zostać ustanowiona Specjalna Strefa Rewitalizacji, o której mowa w art. 25 ustawy o rewitalizacji, wraz ze wskazaniem okresu jej obowiązywania;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wskazanie sposobu realizacji GPR w zakresie planowania i zagospodarowania przestrzennego, w tym:</w:t>
      </w:r>
    </w:p>
    <w:p w:rsidR="00C05977" w:rsidRPr="00C05977" w:rsidRDefault="00C05977" w:rsidP="00C05977">
      <w:pPr>
        <w:numPr>
          <w:ilvl w:val="1"/>
          <w:numId w:val="5"/>
        </w:numPr>
        <w:suppressAutoHyphens/>
        <w:spacing w:after="0" w:line="276" w:lineRule="auto"/>
        <w:ind w:left="127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wskazanie miejscowych planów zagospodarowania przestrzennego koniecznych do uchwalenia albo zmiany,</w:t>
      </w:r>
    </w:p>
    <w:p w:rsidR="00C05977" w:rsidRPr="00C05977" w:rsidRDefault="00C05977" w:rsidP="00C05977">
      <w:pPr>
        <w:numPr>
          <w:ilvl w:val="1"/>
          <w:numId w:val="5"/>
        </w:numPr>
        <w:suppressAutoHyphens/>
        <w:spacing w:after="0" w:line="276" w:lineRule="auto"/>
        <w:ind w:left="127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w przypadku wskazania konieczności uchwalenia miejscowego planu rewitalizacji, o którym mowa w </w:t>
      </w:r>
      <w:hyperlink r:id="rId6" w:anchor="/document/17027058?unitId=art(37(f))ust(1)&amp;cm=DOCUMENT" w:history="1">
        <w:r w:rsidRPr="00C05977">
          <w:rPr>
            <w:rFonts w:ascii="Arial" w:eastAsia="Times New Roman" w:hAnsi="Arial" w:cs="Arial"/>
            <w:color w:val="000000"/>
            <w:u w:val="single"/>
            <w:lang w:eastAsia="pl-PL"/>
          </w:rPr>
          <w:t>art. 37f ust. 1</w:t>
        </w:r>
      </w:hyperlink>
      <w:r w:rsidRPr="00C05977">
        <w:rPr>
          <w:rFonts w:ascii="Arial" w:eastAsia="Times New Roman" w:hAnsi="Arial" w:cs="Arial"/>
          <w:color w:val="000000"/>
          <w:lang w:eastAsia="pl-PL"/>
        </w:rPr>
        <w:t xml:space="preserve"> ustawy z dnia 27 marca 2003 r. </w:t>
      </w:r>
      <w:r w:rsidRPr="00C05977">
        <w:rPr>
          <w:rFonts w:ascii="Arial" w:eastAsia="Times New Roman" w:hAnsi="Arial" w:cs="Arial"/>
          <w:color w:val="000000"/>
          <w:lang w:eastAsia="pl-PL"/>
        </w:rPr>
        <w:br/>
        <w:t xml:space="preserve">o planowaniu i zagospodarowaniu przestrzennym - wskazanie granic obszarów, </w:t>
      </w:r>
      <w:r w:rsidRPr="00C05977">
        <w:rPr>
          <w:rFonts w:ascii="Arial" w:eastAsia="Times New Roman" w:hAnsi="Arial" w:cs="Arial"/>
          <w:color w:val="000000"/>
          <w:lang w:eastAsia="pl-PL"/>
        </w:rPr>
        <w:lastRenderedPageBreak/>
        <w:t xml:space="preserve">dla których plan ten będzie procedowany łącznie z procedurą scaleń </w:t>
      </w:r>
      <w:r w:rsidRPr="00C05977">
        <w:rPr>
          <w:rFonts w:ascii="Arial" w:eastAsia="Times New Roman" w:hAnsi="Arial" w:cs="Arial"/>
          <w:color w:val="000000"/>
          <w:lang w:eastAsia="pl-PL"/>
        </w:rPr>
        <w:br/>
        <w:t>i podziałów nieruchomości, a także wytyczne w zakresie ustaleń tego planu;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załącznik graficzny przedstawiający podstawowe kierunki zmian funkcjonalno-przestrzennych obszaru rewitalizacji sporządzony na mapie w skali co najmniej 1:5000 opracowanej z wykorzystaniem treści mapy zasadniczej, a w przypadku jej braku -  z wykorzystaniem treści mapy ewidencyjnej w rozumieniu </w:t>
      </w:r>
      <w:hyperlink r:id="rId7" w:anchor="/document/16793127?cm=DOCUMENT" w:history="1">
        <w:r w:rsidRPr="00C05977">
          <w:rPr>
            <w:rFonts w:ascii="Arial" w:eastAsia="Times New Roman" w:hAnsi="Arial" w:cs="Arial"/>
            <w:color w:val="000000"/>
            <w:lang w:eastAsia="pl-PL"/>
          </w:rPr>
          <w:t>ustawy</w:t>
        </w:r>
      </w:hyperlink>
      <w:r w:rsidRPr="00C05977">
        <w:rPr>
          <w:rFonts w:ascii="Arial" w:eastAsia="Times New Roman" w:hAnsi="Arial" w:cs="Arial"/>
          <w:color w:val="000000"/>
          <w:lang w:eastAsia="pl-PL"/>
        </w:rPr>
        <w:t xml:space="preserve"> z dnia 17 maja 1989 r. - Prawo geodezyjne i kartograficzne.</w:t>
      </w:r>
    </w:p>
    <w:p w:rsidR="00C05977" w:rsidRPr="00C05977" w:rsidRDefault="00C05977" w:rsidP="00C05977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Ujęciu w treści GPR wymogów wynikających z art. 36 ust. 8 ustawy z dnia 28 kwietnia 2022 r. o zasadach realizacji zadań finansowanych ze środków europejskich w perspektywie finansowej 2021 – 2027, potwierdzających spełnienie przez GPR kryteriów dla strategii IIT, w tym: </w:t>
      </w:r>
    </w:p>
    <w:p w:rsidR="00C05977" w:rsidRPr="00C05977" w:rsidRDefault="00C05977" w:rsidP="00C05977">
      <w:pPr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syntezę diagnozy obszaru realizacji IIT wraz z analizą problemów, potrzeb i potencjałów rozwojowych, w tym wzajemnych powiązań gospodarczych, społecznych i środowiskowych;</w:t>
      </w:r>
    </w:p>
    <w:p w:rsidR="00C05977" w:rsidRPr="00C05977" w:rsidRDefault="00C05977" w:rsidP="00C05977">
      <w:pPr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wskazanie celów, jakie mają być zrealizowane w ramach IIT, z wykorzystaniem podejścia zintegrowanego, oczekiwanych wskaźników rezultatu i produktu powiązanych z realizacją programu;</w:t>
      </w:r>
    </w:p>
    <w:p w:rsidR="00C05977" w:rsidRPr="00C05977" w:rsidRDefault="00C05977" w:rsidP="00C05977">
      <w:pPr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wskazanie projektów realizujących cele, o których mowa w pkt a, wraz z informacją na temat sposobu ich wskazania oraz powiązania z innymi projektami;</w:t>
      </w:r>
    </w:p>
    <w:p w:rsidR="00C05977" w:rsidRPr="00C05977" w:rsidRDefault="00C05977" w:rsidP="00C05977">
      <w:pPr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opis procesu zaangażowania partnerów społeczno-gospodarczych oraz właściwych podmiotów reprezentujących społeczeństwo obywatelskie, podmiotów działających na rzecz ochrony środowiska oraz podmiotów odpowiedzialnych za promowanie włączenia społecznego, praw podstawowych, praw osób niepełnosprawnych, równości płci i niedyskryminacji w pracach nad przygotowaniem i wdrażaniem strategii IIT.</w:t>
      </w:r>
    </w:p>
    <w:p w:rsidR="00C05977" w:rsidRPr="00C05977" w:rsidRDefault="00C05977" w:rsidP="00C05977">
      <w:pPr>
        <w:numPr>
          <w:ilvl w:val="3"/>
          <w:numId w:val="1"/>
        </w:numPr>
        <w:tabs>
          <w:tab w:val="num" w:pos="284"/>
        </w:tabs>
        <w:suppressAutoHyphens/>
        <w:autoSpaceDE w:val="0"/>
        <w:spacing w:after="0" w:line="276" w:lineRule="auto"/>
        <w:ind w:left="284" w:hanging="284"/>
        <w:contextualSpacing/>
        <w:jc w:val="both"/>
        <w:rPr>
          <w:rFonts w:ascii="Arial" w:eastAsia="Calibri" w:hAnsi="Arial" w:cs="Arial"/>
          <w:lang w:eastAsia="ar-SA"/>
        </w:rPr>
      </w:pPr>
      <w:r w:rsidRPr="00C05977">
        <w:rPr>
          <w:rFonts w:ascii="Arial" w:eastAsia="Calibri" w:hAnsi="Arial" w:cs="Arial"/>
          <w:lang w:eastAsia="ar-SA"/>
        </w:rPr>
        <w:t xml:space="preserve">Przygotowanie uchwały Rady </w:t>
      </w:r>
      <w:r>
        <w:rPr>
          <w:rFonts w:ascii="Arial" w:eastAsia="Calibri" w:hAnsi="Arial" w:cs="Arial"/>
          <w:lang w:eastAsia="ar-SA"/>
        </w:rPr>
        <w:t>Gminy</w:t>
      </w:r>
      <w:bookmarkStart w:id="2" w:name="_GoBack"/>
      <w:bookmarkEnd w:id="2"/>
      <w:r w:rsidRPr="00C05977">
        <w:rPr>
          <w:rFonts w:ascii="Arial" w:eastAsia="Calibri" w:hAnsi="Arial" w:cs="Arial"/>
          <w:lang w:eastAsia="ar-SA"/>
        </w:rPr>
        <w:t xml:space="preserve"> określającej zasady wyznaczania składu oraz działania Komitetu Rewitalizacji wraz z procedurą konsultacji społecznych projektu uchwały.</w:t>
      </w:r>
    </w:p>
    <w:p w:rsidR="00C05977" w:rsidRPr="00C05977" w:rsidRDefault="00C05977" w:rsidP="00C05977">
      <w:pPr>
        <w:numPr>
          <w:ilvl w:val="3"/>
          <w:numId w:val="1"/>
        </w:numPr>
        <w:tabs>
          <w:tab w:val="num" w:pos="284"/>
        </w:tabs>
        <w:suppressAutoHyphens/>
        <w:autoSpaceDE w:val="0"/>
        <w:autoSpaceDN w:val="0"/>
        <w:adjustRightInd w:val="0"/>
        <w:spacing w:after="0" w:line="276" w:lineRule="auto"/>
        <w:ind w:hanging="2520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Wykonawca zobowiązany jest do: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współpracy z Zamawiającym, co oznacza udział przedstawiciela Wykonawcy w min. 3 spotkaniach w siedzibie Zamawiającego;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przeprowadzenia konsultacji społecznych:</w:t>
      </w:r>
    </w:p>
    <w:p w:rsidR="00C05977" w:rsidRPr="00C05977" w:rsidRDefault="00C05977" w:rsidP="00C05977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projektu uchwały w sprawie wyznaczenia obszaru zdegradowanego i obszaru rewitalizacji, </w:t>
      </w:r>
    </w:p>
    <w:p w:rsidR="00C05977" w:rsidRPr="00C05977" w:rsidRDefault="00C05977" w:rsidP="00C05977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 xml:space="preserve">projektu uchwały w sprawie wyznaczenia składu oraz działania Komitetu Rewitalizacji, </w:t>
      </w:r>
    </w:p>
    <w:p w:rsidR="00C05977" w:rsidRPr="00C05977" w:rsidRDefault="00C05977" w:rsidP="00C05977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projektu GPR,</w:t>
      </w:r>
    </w:p>
    <w:p w:rsidR="00C05977" w:rsidRPr="00C05977" w:rsidRDefault="00C05977" w:rsidP="00C05977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w formach wskazanych w ustawie o rewitalizacji art. 6 ust. 3 pkt 1 i 2), w tym co najmniej organizacja 1 warsztatu diagnostycznego dla liderów społecznych, przedstawicieli Urzędu Gminy, Radnych, przedstawicieli biznesu, mieszkańców, oraz organizacja minimum trzech spotkań konsultacyjnych z mieszkańcami wraz z opracowaniem raportów podsumowujących – po jednym na każdy proces konsultacji ujętych w zamówieniu projektów uchwał;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asysty przy uzyskaniu opinii i uzgodnień od podmiotów (wskazanych w art. 17 ust. 2 pkt 4 lit. a ustawy o rewitalizacji) a w przypadku uwag naniesienie poprawek do ww. dokumentu,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lastRenderedPageBreak/>
        <w:t xml:space="preserve">przeprowadzenia strategicznej oceny oddziaływania na środowisko (jako element warunkowy, uzależniony od uzgodnienia ze stosownymi organami); w przypadku stwierdzenia konieczności przeprowadzenia strategicznej oceny oddziaływania                       na środowisko projektu GPR – opracowanie prognozy oddziaływania na środowisko, która powinna zawierać informacje zgodnie z art. 51 ust. 2 ustawy z dnia 3 października 2008 r. o udostępnianiu informacji  o środowisku i udziale społeczeństwa w ochronie środowiska oraz o ocenach oddziaływania na środowisko (Dz. U. z 2021 r., </w:t>
      </w:r>
      <w:proofErr w:type="spellStart"/>
      <w:r w:rsidRPr="00C05977">
        <w:rPr>
          <w:rFonts w:ascii="Arial" w:eastAsia="Times New Roman" w:hAnsi="Arial" w:cs="Arial"/>
          <w:color w:val="000000"/>
          <w:lang w:eastAsia="pl-PL"/>
        </w:rPr>
        <w:t>poz</w:t>
      </w:r>
      <w:proofErr w:type="spellEnd"/>
      <w:r w:rsidRPr="00C05977">
        <w:rPr>
          <w:rFonts w:ascii="Arial" w:eastAsia="Times New Roman" w:hAnsi="Arial" w:cs="Arial"/>
          <w:color w:val="000000"/>
          <w:lang w:eastAsia="pl-PL"/>
        </w:rPr>
        <w:t xml:space="preserve"> 247 z </w:t>
      </w:r>
      <w:proofErr w:type="spellStart"/>
      <w:r w:rsidRPr="00C0597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C05977">
        <w:rPr>
          <w:rFonts w:ascii="Arial" w:eastAsia="Times New Roman" w:hAnsi="Arial" w:cs="Arial"/>
          <w:color w:val="000000"/>
          <w:lang w:eastAsia="pl-PL"/>
        </w:rPr>
        <w:t>. zm.) oraz powinna być zgodna z ustalonym przez organy zakresem opracowania;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przekazania kompletnych opracowań niezbędnych do ich uchwalenia, w tym przygotowanie uzasadnienia projektów uchwał;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udziału w prezentacji założeń i celów:</w:t>
      </w:r>
    </w:p>
    <w:p w:rsidR="00C05977" w:rsidRPr="00C05977" w:rsidRDefault="00C05977" w:rsidP="00C05977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diagnozy w celu wyznaczenia obszaru zdegradowanego i obszaru rewitalizacji,</w:t>
      </w:r>
    </w:p>
    <w:p w:rsidR="00C05977" w:rsidRPr="00C05977" w:rsidRDefault="00C05977" w:rsidP="00C05977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GPR oraz dokumentu na posiedzeniach komisji i sesji Rady Gminy;</w:t>
      </w:r>
    </w:p>
    <w:p w:rsidR="00C05977" w:rsidRPr="00C05977" w:rsidRDefault="00C05977" w:rsidP="00C05977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eastAsia="Times New Roman" w:hAnsi="Arial" w:cs="Arial"/>
          <w:color w:val="000000"/>
          <w:lang w:eastAsia="pl-PL"/>
        </w:rPr>
      </w:pPr>
      <w:r w:rsidRPr="00C05977">
        <w:rPr>
          <w:rFonts w:ascii="Arial" w:eastAsia="Times New Roman" w:hAnsi="Arial" w:cs="Arial"/>
          <w:color w:val="000000"/>
          <w:lang w:eastAsia="pl-PL"/>
        </w:rPr>
        <w:t>uwzględnienia w strukturach dokumentów ewentualnych wymagań wynikających z wytycznych właściwego ministra lub/i IZ jeżeli takowe zostaną sformułowane i/lub opublikowane  w trakcie obowiązywania umowy.</w:t>
      </w:r>
    </w:p>
    <w:p w:rsidR="007C524A" w:rsidRDefault="00C05977" w:rsidP="00C05977">
      <w:r w:rsidRPr="00C05977">
        <w:rPr>
          <w:rFonts w:ascii="Arial" w:eastAsia="Times New Roman" w:hAnsi="Arial" w:cs="Arial"/>
          <w:bCs/>
          <w:color w:val="000000"/>
          <w:lang w:eastAsia="pl-PL"/>
        </w:rPr>
        <w:t>Przygotowaniu dokumentów do oceny przez Urząd Marszałkowski w ramach procedury wpisu GPR do Wykazu programów rewitalizacji, a w przypadku uwag - przygotowanie korekty dokumentu w terminie wyznaczonym przez Zamawiającego</w:t>
      </w:r>
    </w:p>
    <w:sectPr w:rsidR="007C5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4788"/>
    <w:multiLevelType w:val="hybridMultilevel"/>
    <w:tmpl w:val="D380836E"/>
    <w:lvl w:ilvl="0" w:tplc="B24EF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125FE5"/>
    <w:multiLevelType w:val="hybridMultilevel"/>
    <w:tmpl w:val="229AB66A"/>
    <w:lvl w:ilvl="0" w:tplc="B24EFD22">
      <w:start w:val="1"/>
      <w:numFmt w:val="bullet"/>
      <w:lvlText w:val=""/>
      <w:lvlJc w:val="left"/>
      <w:pPr>
        <w:ind w:left="18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2" w15:restartNumberingAfterBreak="0">
    <w:nsid w:val="13182CF3"/>
    <w:multiLevelType w:val="hybridMultilevel"/>
    <w:tmpl w:val="64101760"/>
    <w:lvl w:ilvl="0" w:tplc="B24EF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C179B"/>
    <w:multiLevelType w:val="hybridMultilevel"/>
    <w:tmpl w:val="802EC92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A9140E5"/>
    <w:multiLevelType w:val="hybridMultilevel"/>
    <w:tmpl w:val="FEAEE940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36DE7"/>
    <w:multiLevelType w:val="hybridMultilevel"/>
    <w:tmpl w:val="558C44A2"/>
    <w:lvl w:ilvl="0" w:tplc="EBA006A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4A8A5B31"/>
    <w:multiLevelType w:val="hybridMultilevel"/>
    <w:tmpl w:val="F804367E"/>
    <w:lvl w:ilvl="0" w:tplc="E2764DD8">
      <w:start w:val="1"/>
      <w:numFmt w:val="decimal"/>
      <w:lvlText w:val="%1)"/>
      <w:lvlJc w:val="left"/>
      <w:pPr>
        <w:ind w:left="114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3732F1B"/>
    <w:multiLevelType w:val="hybridMultilevel"/>
    <w:tmpl w:val="FEF47BFC"/>
    <w:lvl w:ilvl="0" w:tplc="D31C88E4">
      <w:start w:val="1"/>
      <w:numFmt w:val="lowerLetter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F3C228C"/>
    <w:multiLevelType w:val="hybridMultilevel"/>
    <w:tmpl w:val="235E282A"/>
    <w:lvl w:ilvl="0" w:tplc="B24EF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1C0459"/>
    <w:multiLevelType w:val="hybridMultilevel"/>
    <w:tmpl w:val="E4449BB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B24EF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F0393"/>
    <w:multiLevelType w:val="hybridMultilevel"/>
    <w:tmpl w:val="8CC6E93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E7F8DC8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9B034A0"/>
    <w:multiLevelType w:val="hybridMultilevel"/>
    <w:tmpl w:val="F884A12A"/>
    <w:lvl w:ilvl="0" w:tplc="EBA006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CE52322"/>
    <w:multiLevelType w:val="hybridMultilevel"/>
    <w:tmpl w:val="E6A263E8"/>
    <w:lvl w:ilvl="0" w:tplc="2F846048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12"/>
  </w:num>
  <w:num w:numId="7">
    <w:abstractNumId w:val="0"/>
  </w:num>
  <w:num w:numId="8">
    <w:abstractNumId w:val="8"/>
  </w:num>
  <w:num w:numId="9">
    <w:abstractNumId w:val="7"/>
  </w:num>
  <w:num w:numId="10">
    <w:abstractNumId w:val="1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B3"/>
    <w:rsid w:val="004247B3"/>
    <w:rsid w:val="007C524A"/>
    <w:rsid w:val="00C0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36E21-8DC4-4998-AEA0-461A4C59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1975</Words>
  <Characters>11855</Characters>
  <Application>Microsoft Office Word</Application>
  <DocSecurity>0</DocSecurity>
  <Lines>98</Lines>
  <Paragraphs>27</Paragraphs>
  <ScaleCrop>false</ScaleCrop>
  <Company/>
  <LinksUpToDate>false</LinksUpToDate>
  <CharactersWithSpaces>13803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J_RUTKOWSKI</dc:creator>
  <cp:keywords/>
  <dc:description/>
  <cp:lastModifiedBy>J_RUTKOWSKI</cp:lastModifiedBy>
  <cp:revision>2</cp:revision>
  <dcterms:created xsi:type="dcterms:W3CDTF">2025-01-02T06:23:00Z</dcterms:created>
  <dcterms:modified xsi:type="dcterms:W3CDTF">2025-01-02T06:23:00Z</dcterms:modified>
</cp:coreProperties>
</file>