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B" w:rsidRPr="00CE1F79" w:rsidRDefault="00872DBB" w:rsidP="00872D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CE1F79">
        <w:rPr>
          <w:rFonts w:ascii="Calibri" w:eastAsia="Calibri" w:hAnsi="Calibri" w:cs="Times New Roman"/>
        </w:rPr>
        <w:t>OPIS PRZEDMIOTU ZAMÓWIENIA</w:t>
      </w:r>
    </w:p>
    <w:p w:rsidR="00872DBB" w:rsidRPr="00CE1F79" w:rsidRDefault="00872DBB" w:rsidP="00872D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CE1F79">
        <w:rPr>
          <w:rFonts w:ascii="Calibri" w:eastAsia="Calibri" w:hAnsi="Calibri" w:cs="Times New Roman"/>
        </w:rPr>
        <w:t>„Dostawa</w:t>
      </w:r>
      <w:r>
        <w:rPr>
          <w:rFonts w:ascii="Calibri" w:eastAsia="Calibri" w:hAnsi="Calibri" w:cs="Times New Roman"/>
        </w:rPr>
        <w:t>: SWITCH, UPS, NAS</w:t>
      </w:r>
      <w:r w:rsidRPr="00CE1F79">
        <w:rPr>
          <w:rFonts w:ascii="Calibri" w:eastAsia="Calibri" w:hAnsi="Calibri" w:cs="Times New Roman"/>
        </w:rPr>
        <w:t>”</w:t>
      </w:r>
    </w:p>
    <w:p w:rsidR="00CE1F79" w:rsidRDefault="00CE1F79" w:rsidP="00CE1F79">
      <w:pPr>
        <w:pStyle w:val="Nagwek1"/>
        <w:ind w:left="-142" w:firstLine="142"/>
      </w:pPr>
      <w:r>
        <w:t xml:space="preserve">1. Wstęp </w:t>
      </w:r>
    </w:p>
    <w:p w:rsidR="00CE1F79" w:rsidRDefault="00CE1F79" w:rsidP="00EC53B9">
      <w:pPr>
        <w:ind w:left="-284" w:right="-567"/>
      </w:pPr>
      <w:r>
        <w:t>Niniejszy dokument stanowi szczegółowy opis przedmiotu zamówienia na zakup oraz konfigurację sprzętu wraz z oprogramowaniem.</w:t>
      </w:r>
    </w:p>
    <w:p w:rsidR="00CE1F79" w:rsidRDefault="00CE1F79" w:rsidP="00CE1F79">
      <w:pPr>
        <w:pStyle w:val="Nagwek1"/>
      </w:pPr>
      <w:r>
        <w:t xml:space="preserve">2. Przedmiot zamówienia </w:t>
      </w:r>
    </w:p>
    <w:p w:rsidR="00CE1F79" w:rsidRDefault="00CE1F79" w:rsidP="00CE1F79">
      <w:pPr>
        <w:ind w:left="-284" w:right="-567"/>
      </w:pPr>
      <w:r>
        <w:t xml:space="preserve">Przedmiotem zamówienia jest: </w:t>
      </w:r>
    </w:p>
    <w:p w:rsidR="00CE1F79" w:rsidRDefault="00CE1F79" w:rsidP="00CE1F79">
      <w:pPr>
        <w:ind w:left="-284" w:right="-567"/>
      </w:pPr>
      <w:r>
        <w:t xml:space="preserve">1) sprzedaż, dostarczenie sprzętu wraz z oprogramowaniem; </w:t>
      </w:r>
    </w:p>
    <w:p w:rsidR="00CE1F79" w:rsidRDefault="00CE1F79" w:rsidP="00CE1F79">
      <w:pPr>
        <w:ind w:left="-284" w:right="-567"/>
      </w:pPr>
      <w:r>
        <w:t xml:space="preserve">2) udzielenie przez Wykonawcę gwarancji i zapewnienie serwisu gwarancyjnego na dostarczony Sprzęt </w:t>
      </w:r>
      <w:r>
        <w:br/>
        <w:t xml:space="preserve">w okresach </w:t>
      </w:r>
      <w:r w:rsidR="001D7792">
        <w:t>minimum 12</w:t>
      </w:r>
      <w:r w:rsidR="00D30D3C">
        <w:t xml:space="preserve"> m-</w:t>
      </w:r>
      <w:proofErr w:type="spellStart"/>
      <w:r w:rsidR="00D30D3C">
        <w:t>cy</w:t>
      </w:r>
      <w:proofErr w:type="spellEnd"/>
      <w:r w:rsidR="00D30D3C">
        <w:t>;</w:t>
      </w:r>
    </w:p>
    <w:p w:rsidR="00CE1F79" w:rsidRDefault="00CE1F79" w:rsidP="00CE1F79">
      <w:pPr>
        <w:ind w:left="-284" w:right="-567"/>
      </w:pPr>
      <w:r>
        <w:t xml:space="preserve">3) udzielenie licencji na oprogramowanie; </w:t>
      </w:r>
    </w:p>
    <w:p w:rsidR="00CE1F79" w:rsidRDefault="00CE1F79" w:rsidP="00EC53B9">
      <w:pPr>
        <w:ind w:left="-284" w:right="-567"/>
      </w:pPr>
      <w:r>
        <w:t xml:space="preserve">4) dostarczenie przez Wykonawcę dokumentacji dostarczonego Sprzętu. </w:t>
      </w:r>
    </w:p>
    <w:p w:rsidR="00CE1F79" w:rsidRDefault="00CE1F79" w:rsidP="00CE1F79">
      <w:pPr>
        <w:pStyle w:val="Nagwek1"/>
      </w:pPr>
      <w:r>
        <w:t xml:space="preserve">3. Zakres zamówienia i termin realizacji </w:t>
      </w:r>
    </w:p>
    <w:p w:rsidR="00CE1F79" w:rsidRDefault="00CE1F79" w:rsidP="00CE1F79">
      <w:pPr>
        <w:ind w:left="-284" w:right="-567"/>
      </w:pPr>
    </w:p>
    <w:p w:rsidR="00CE1F79" w:rsidRDefault="00CE1F79" w:rsidP="00CE1F79">
      <w:pPr>
        <w:ind w:left="-284" w:right="-567"/>
      </w:pPr>
      <w:r>
        <w:t>Zamawiający wymaga, aby dostawa do Zamawiającego nastąpiła  w terminach określonych w poniższej tabeli.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2021"/>
        <w:gridCol w:w="1984"/>
        <w:gridCol w:w="2837"/>
      </w:tblGrid>
      <w:tr w:rsidR="00CE1F79" w:rsidTr="00CE1F79">
        <w:trPr>
          <w:jc w:val="center"/>
        </w:trPr>
        <w:tc>
          <w:tcPr>
            <w:tcW w:w="524" w:type="dxa"/>
          </w:tcPr>
          <w:p w:rsidR="00CE1F79" w:rsidRDefault="00CE1F79" w:rsidP="003E28FC">
            <w:pPr>
              <w:ind w:right="-567"/>
            </w:pPr>
            <w:r>
              <w:t>LP</w:t>
            </w:r>
          </w:p>
        </w:tc>
        <w:tc>
          <w:tcPr>
            <w:tcW w:w="2021" w:type="dxa"/>
          </w:tcPr>
          <w:p w:rsidR="00CE1F79" w:rsidRDefault="00CE1F79" w:rsidP="003E28FC">
            <w:pPr>
              <w:ind w:right="-567"/>
            </w:pPr>
            <w:r>
              <w:t>Przedmiot dostawy</w:t>
            </w:r>
          </w:p>
        </w:tc>
        <w:tc>
          <w:tcPr>
            <w:tcW w:w="1984" w:type="dxa"/>
          </w:tcPr>
          <w:p w:rsidR="00CE1F79" w:rsidRDefault="00CE1F79" w:rsidP="003E28FC">
            <w:pPr>
              <w:ind w:right="-567"/>
            </w:pPr>
            <w:r>
              <w:t>Liczba sprzętu</w:t>
            </w:r>
          </w:p>
        </w:tc>
        <w:tc>
          <w:tcPr>
            <w:tcW w:w="2837" w:type="dxa"/>
          </w:tcPr>
          <w:p w:rsidR="00CE1F79" w:rsidRDefault="00CE1F79" w:rsidP="003E28FC">
            <w:pPr>
              <w:ind w:right="-567"/>
            </w:pPr>
            <w:r>
              <w:t>Termin dostawy –</w:t>
            </w:r>
          </w:p>
          <w:p w:rsidR="00CE1F79" w:rsidRDefault="00CE1F79" w:rsidP="003E28FC">
            <w:pPr>
              <w:ind w:right="-567"/>
            </w:pPr>
            <w:r>
              <w:t>liczba dni od podpisania umowy</w:t>
            </w:r>
          </w:p>
        </w:tc>
      </w:tr>
      <w:tr w:rsidR="00CE1F79" w:rsidTr="00CE1F79">
        <w:trPr>
          <w:jc w:val="center"/>
        </w:trPr>
        <w:tc>
          <w:tcPr>
            <w:tcW w:w="524" w:type="dxa"/>
          </w:tcPr>
          <w:p w:rsidR="00CE1F79" w:rsidRDefault="00CE1F79" w:rsidP="003E28FC">
            <w:pPr>
              <w:ind w:right="-567"/>
            </w:pPr>
            <w:r>
              <w:t>1</w:t>
            </w:r>
          </w:p>
        </w:tc>
        <w:tc>
          <w:tcPr>
            <w:tcW w:w="2021" w:type="dxa"/>
          </w:tcPr>
          <w:p w:rsidR="00CE1F79" w:rsidRDefault="00CE1F79" w:rsidP="003E28FC">
            <w:pPr>
              <w:ind w:right="-567"/>
            </w:pPr>
            <w:r>
              <w:t>Switch</w:t>
            </w:r>
          </w:p>
        </w:tc>
        <w:tc>
          <w:tcPr>
            <w:tcW w:w="1984" w:type="dxa"/>
          </w:tcPr>
          <w:p w:rsidR="00CE1F79" w:rsidRPr="00D30D3C" w:rsidRDefault="008C4485" w:rsidP="003E28FC">
            <w:pPr>
              <w:ind w:right="-567"/>
              <w:jc w:val="center"/>
            </w:pPr>
            <w:r w:rsidRPr="00D30D3C">
              <w:t>3</w:t>
            </w:r>
          </w:p>
        </w:tc>
        <w:tc>
          <w:tcPr>
            <w:tcW w:w="2837" w:type="dxa"/>
          </w:tcPr>
          <w:p w:rsidR="00CE1F79" w:rsidRDefault="00CE1F79" w:rsidP="003E28FC">
            <w:pPr>
              <w:ind w:right="-567"/>
              <w:jc w:val="center"/>
            </w:pPr>
            <w:r>
              <w:t>60</w:t>
            </w:r>
          </w:p>
        </w:tc>
      </w:tr>
      <w:tr w:rsidR="00CE1F79" w:rsidTr="00CE1F79">
        <w:trPr>
          <w:jc w:val="center"/>
        </w:trPr>
        <w:tc>
          <w:tcPr>
            <w:tcW w:w="524" w:type="dxa"/>
          </w:tcPr>
          <w:p w:rsidR="00CE1F79" w:rsidRDefault="00CE1F79" w:rsidP="003E28FC">
            <w:pPr>
              <w:ind w:right="-567"/>
            </w:pPr>
            <w:r>
              <w:t>2</w:t>
            </w:r>
          </w:p>
        </w:tc>
        <w:tc>
          <w:tcPr>
            <w:tcW w:w="2021" w:type="dxa"/>
          </w:tcPr>
          <w:p w:rsidR="00CE1F79" w:rsidRDefault="00CE1F79" w:rsidP="003E28FC">
            <w:pPr>
              <w:ind w:right="-567"/>
            </w:pPr>
            <w:r>
              <w:t>UPS</w:t>
            </w:r>
          </w:p>
        </w:tc>
        <w:tc>
          <w:tcPr>
            <w:tcW w:w="1984" w:type="dxa"/>
          </w:tcPr>
          <w:p w:rsidR="00CE1F79" w:rsidRPr="00D30D3C" w:rsidRDefault="008C4485" w:rsidP="003E28FC">
            <w:pPr>
              <w:ind w:right="-567"/>
              <w:jc w:val="center"/>
            </w:pPr>
            <w:r w:rsidRPr="00D30D3C">
              <w:t>1</w:t>
            </w:r>
          </w:p>
        </w:tc>
        <w:tc>
          <w:tcPr>
            <w:tcW w:w="2837" w:type="dxa"/>
          </w:tcPr>
          <w:p w:rsidR="00CE1F79" w:rsidRDefault="00CE1F79" w:rsidP="003E28FC">
            <w:pPr>
              <w:ind w:right="-567"/>
              <w:jc w:val="center"/>
            </w:pPr>
            <w:r>
              <w:t>60</w:t>
            </w:r>
          </w:p>
        </w:tc>
      </w:tr>
      <w:tr w:rsidR="00CE1F79" w:rsidTr="00CE1F79">
        <w:trPr>
          <w:jc w:val="center"/>
        </w:trPr>
        <w:tc>
          <w:tcPr>
            <w:tcW w:w="524" w:type="dxa"/>
          </w:tcPr>
          <w:p w:rsidR="00CE1F79" w:rsidRDefault="00CE1F79" w:rsidP="003E28FC">
            <w:pPr>
              <w:ind w:right="-567"/>
            </w:pPr>
            <w:r>
              <w:t>3</w:t>
            </w:r>
          </w:p>
        </w:tc>
        <w:tc>
          <w:tcPr>
            <w:tcW w:w="2021" w:type="dxa"/>
          </w:tcPr>
          <w:p w:rsidR="00CE1F79" w:rsidRDefault="00CE1F79" w:rsidP="003E28FC">
            <w:pPr>
              <w:ind w:right="-567"/>
            </w:pPr>
            <w:r>
              <w:t>NAS</w:t>
            </w:r>
          </w:p>
        </w:tc>
        <w:tc>
          <w:tcPr>
            <w:tcW w:w="1984" w:type="dxa"/>
          </w:tcPr>
          <w:p w:rsidR="00CE1F79" w:rsidRPr="00D30D3C" w:rsidRDefault="00CE1F79" w:rsidP="003E28FC">
            <w:pPr>
              <w:ind w:right="-567"/>
              <w:jc w:val="center"/>
            </w:pPr>
            <w:r w:rsidRPr="00D30D3C">
              <w:t>1</w:t>
            </w:r>
          </w:p>
        </w:tc>
        <w:tc>
          <w:tcPr>
            <w:tcW w:w="2837" w:type="dxa"/>
          </w:tcPr>
          <w:p w:rsidR="00CE1F79" w:rsidRDefault="00CE1F79" w:rsidP="003E28FC">
            <w:pPr>
              <w:ind w:right="-567"/>
              <w:jc w:val="center"/>
            </w:pPr>
            <w:r>
              <w:t>60</w:t>
            </w:r>
          </w:p>
        </w:tc>
      </w:tr>
    </w:tbl>
    <w:p w:rsidR="00CE1F79" w:rsidRDefault="00CE1F79" w:rsidP="000A33B9"/>
    <w:p w:rsidR="000D2450" w:rsidRDefault="000D2450" w:rsidP="00EC53B9">
      <w:pPr>
        <w:pStyle w:val="Nagwek1"/>
        <w:numPr>
          <w:ilvl w:val="0"/>
          <w:numId w:val="8"/>
        </w:numPr>
        <w:ind w:left="426"/>
      </w:pPr>
      <w:r>
        <w:t xml:space="preserve">Szczegółowa specyfikacja sprzętu – </w:t>
      </w:r>
      <w:proofErr w:type="spellStart"/>
      <w:r>
        <w:t>swiche</w:t>
      </w:r>
      <w:proofErr w:type="spellEnd"/>
      <w:r>
        <w:t xml:space="preserve"> sieciowe.</w:t>
      </w:r>
    </w:p>
    <w:p w:rsidR="000D2450" w:rsidRDefault="000D2450" w:rsidP="000D2450"/>
    <w:tbl>
      <w:tblPr>
        <w:tblStyle w:val="Tabela-Siatka"/>
        <w:tblW w:w="8777" w:type="dxa"/>
        <w:tblLayout w:type="fixed"/>
        <w:tblLook w:val="04A0" w:firstRow="1" w:lastRow="0" w:firstColumn="1" w:lastColumn="0" w:noHBand="0" w:noVBand="1"/>
      </w:tblPr>
      <w:tblGrid>
        <w:gridCol w:w="2631"/>
        <w:gridCol w:w="6146"/>
      </w:tblGrid>
      <w:tr w:rsidR="000D2450" w:rsidTr="00ED4156">
        <w:tc>
          <w:tcPr>
            <w:tcW w:w="8777" w:type="dxa"/>
            <w:gridSpan w:val="2"/>
            <w:vAlign w:val="center"/>
          </w:tcPr>
          <w:p w:rsidR="000D2450" w:rsidRDefault="000D2450" w:rsidP="00ED4156">
            <w:pPr>
              <w:keepNext/>
              <w:keepLines/>
              <w:suppressAutoHyphens/>
              <w:spacing w:before="360" w:after="120"/>
              <w:jc w:val="center"/>
              <w:outlineLvl w:val="1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Dostawa SWITCH 48 portów - wymagania</w:t>
            </w:r>
          </w:p>
          <w:p w:rsidR="000D2450" w:rsidRDefault="000D2450" w:rsidP="00ED4156">
            <w:pPr>
              <w:suppressAutoHyphens/>
              <w:jc w:val="center"/>
            </w:pPr>
          </w:p>
        </w:tc>
      </w:tr>
      <w:tr w:rsidR="000D2450" w:rsidTr="00ED4156">
        <w:tc>
          <w:tcPr>
            <w:tcW w:w="2631" w:type="dxa"/>
            <w:vAlign w:val="center"/>
          </w:tcPr>
          <w:p w:rsidR="000D2450" w:rsidRDefault="000D2450" w:rsidP="00ED4156">
            <w:pPr>
              <w:suppressAutoHyphens/>
              <w:jc w:val="center"/>
            </w:pPr>
            <w:r>
              <w:rPr>
                <w:rFonts w:eastAsia="Calibri"/>
              </w:rPr>
              <w:t>PARAMETR</w:t>
            </w:r>
          </w:p>
        </w:tc>
        <w:tc>
          <w:tcPr>
            <w:tcW w:w="6146" w:type="dxa"/>
            <w:vAlign w:val="center"/>
          </w:tcPr>
          <w:p w:rsidR="000D2450" w:rsidRDefault="000D2450" w:rsidP="00ED4156">
            <w:pPr>
              <w:suppressAutoHyphens/>
              <w:jc w:val="center"/>
            </w:pPr>
            <w:r>
              <w:t>WYMAGANIA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Sprzęt wyprodukowany</w:t>
            </w:r>
          </w:p>
        </w:tc>
        <w:tc>
          <w:tcPr>
            <w:tcW w:w="6146" w:type="dxa"/>
          </w:tcPr>
          <w:p w:rsidR="000D2450" w:rsidRDefault="000D2450" w:rsidP="00ED4156">
            <w:pPr>
              <w:suppressAutoHyphens/>
            </w:pPr>
            <w:r>
              <w:rPr>
                <w:rFonts w:eastAsia="Calibri"/>
              </w:rPr>
              <w:t>Nie wcześniej niż 6 miesięcy przed datą publikacji ogłoszenia</w:t>
            </w:r>
          </w:p>
        </w:tc>
      </w:tr>
      <w:tr w:rsidR="000D2450" w:rsidTr="00ED4156">
        <w:trPr>
          <w:trHeight w:val="296"/>
        </w:trPr>
        <w:tc>
          <w:tcPr>
            <w:tcW w:w="2631" w:type="dxa"/>
          </w:tcPr>
          <w:p w:rsidR="000D2450" w:rsidRDefault="000D2450" w:rsidP="00ED4156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 xml:space="preserve">Obudowa </w:t>
            </w:r>
          </w:p>
        </w:tc>
        <w:tc>
          <w:tcPr>
            <w:tcW w:w="6146" w:type="dxa"/>
          </w:tcPr>
          <w:p w:rsidR="000D2450" w:rsidRDefault="000D2450" w:rsidP="00ED4156">
            <w:pPr>
              <w:tabs>
                <w:tab w:val="left" w:pos="0"/>
              </w:tabs>
              <w:suppressAutoHyphens/>
              <w:rPr>
                <w:bCs/>
              </w:rPr>
            </w:pPr>
            <w:r>
              <w:rPr>
                <w:rFonts w:eastAsia="Times New Roman" w:cstheme="minorHAnsi"/>
                <w:color w:val="000000"/>
              </w:rPr>
              <w:t xml:space="preserve">do montażu w szafie </w:t>
            </w:r>
            <w:proofErr w:type="spellStart"/>
            <w:r>
              <w:rPr>
                <w:rFonts w:eastAsia="Times New Roman" w:cstheme="minorHAnsi"/>
                <w:color w:val="000000"/>
              </w:rPr>
              <w:t>Rack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19", o wysokości nie więcej niż 1U, wraz z kompletem odpowiednich szyn montażowych,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Zasilacz</w:t>
            </w:r>
          </w:p>
        </w:tc>
        <w:tc>
          <w:tcPr>
            <w:tcW w:w="6146" w:type="dxa"/>
          </w:tcPr>
          <w:p w:rsidR="000D2450" w:rsidRDefault="000D2450" w:rsidP="00ED4156">
            <w:pPr>
              <w:pStyle w:val="western"/>
              <w:suppressAutoHyphens/>
              <w:spacing w:after="0" w:line="240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wbudowany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Porty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Min. 48 portów 10/100/100 </w:t>
            </w:r>
            <w:proofErr w:type="spellStart"/>
            <w:r>
              <w:rPr>
                <w:rFonts w:eastAsia="Calibri"/>
                <w:bCs/>
              </w:rPr>
              <w:t>Mbps</w:t>
            </w:r>
            <w:proofErr w:type="spellEnd"/>
            <w:r>
              <w:rPr>
                <w:rFonts w:eastAsia="Calibri"/>
                <w:bCs/>
              </w:rPr>
              <w:t xml:space="preserve"> RJ45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Min. 4 porty SPF/SPF+ 1/10GbE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Cs/>
                <w:lang w:val="en-US"/>
              </w:rPr>
            </w:pPr>
            <w:proofErr w:type="spellStart"/>
            <w:r w:rsidRPr="00872DBB">
              <w:rPr>
                <w:rFonts w:eastAsia="Times New Roman" w:cstheme="minorHAnsi"/>
                <w:color w:val="000000"/>
                <w:lang w:val="en-US"/>
              </w:rPr>
              <w:t>Obsługa</w:t>
            </w:r>
            <w:proofErr w:type="spellEnd"/>
            <w:r w:rsidRPr="00872DBB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72DBB">
              <w:rPr>
                <w:rFonts w:eastAsia="Times New Roman" w:cstheme="minorHAnsi"/>
                <w:color w:val="000000"/>
                <w:lang w:val="en-US"/>
              </w:rPr>
              <w:t>modułów</w:t>
            </w:r>
            <w:proofErr w:type="spellEnd"/>
            <w:r w:rsidRPr="00872DBB">
              <w:rPr>
                <w:rFonts w:eastAsia="Times New Roman" w:cstheme="minorHAnsi"/>
                <w:color w:val="000000"/>
                <w:lang w:val="en-US"/>
              </w:rPr>
              <w:t xml:space="preserve"> SFP: 1000BASE-SX, 1000BASE-LX, 1000BASE-ZX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>
              <w:rPr>
                <w:rFonts w:eastAsia="Times New Roman" w:cstheme="minorHAnsi"/>
                <w:color w:val="000000"/>
              </w:rPr>
              <w:t>Min. 1 port konsolowy RJ-45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Cs/>
              </w:rPr>
            </w:pPr>
            <w:r>
              <w:rPr>
                <w:rFonts w:eastAsia="Times New Roman" w:cstheme="minorHAnsi"/>
                <w:color w:val="000000"/>
              </w:rPr>
              <w:t xml:space="preserve">minimum 1 port USB umożliwiający załadowanie konfiguracji dla przełącznika z pamięci </w:t>
            </w:r>
            <w:proofErr w:type="spellStart"/>
            <w:r>
              <w:rPr>
                <w:rFonts w:eastAsia="Times New Roman" w:cstheme="minorHAnsi"/>
                <w:color w:val="000000"/>
              </w:rPr>
              <w:t>flash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USB</w:t>
            </w:r>
          </w:p>
          <w:p w:rsidR="000D2450" w:rsidRDefault="000D2450" w:rsidP="00ED4156">
            <w:r>
              <w:t xml:space="preserve"> 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Wydajność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 xml:space="preserve">Switch </w:t>
            </w:r>
            <w:proofErr w:type="spellStart"/>
            <w:r>
              <w:rPr>
                <w:rFonts w:eastAsia="Times New Roman" w:cstheme="minorHAnsi"/>
                <w:color w:val="000000"/>
              </w:rPr>
              <w:t>fabric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capacity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min. </w:t>
            </w:r>
            <w:r>
              <w:rPr>
                <w:rFonts w:cstheme="minorHAnsi"/>
              </w:rPr>
              <w:t>100Gbps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rPr>
                <w:rFonts w:eastAsia="Times New Roman" w:cstheme="minorHAnsi"/>
                <w:color w:val="000000"/>
              </w:rPr>
              <w:t>Forwarding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rate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min. </w:t>
            </w:r>
            <w:r>
              <w:rPr>
                <w:rFonts w:cstheme="minorHAnsi"/>
              </w:rPr>
              <w:t>100Mpps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Pamięć procesora  min. 512MB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lastRenderedPageBreak/>
              <w:t>Bufor pamięci dla pakietów minimum 1.5MB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rPr>
                <w:rFonts w:cstheme="minorHAnsi"/>
                <w:bCs/>
              </w:rPr>
              <w:lastRenderedPageBreak/>
              <w:t>Funkcjonalność warstwy II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minimum 512 wirtualnych sieci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 xml:space="preserve">Wsparcie dla agregacji LACP 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min 8 grup LACP i 8 portów fizycznych per grupa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872DBB">
              <w:rPr>
                <w:rFonts w:eastAsia="Times New Roman" w:cstheme="minorHAnsi"/>
                <w:color w:val="000000"/>
                <w:lang w:val="en-US"/>
              </w:rPr>
              <w:t>Obsługa</w:t>
            </w:r>
            <w:proofErr w:type="spellEnd"/>
            <w:r w:rsidRPr="00872DBB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872DBB">
              <w:rPr>
                <w:rFonts w:eastAsia="Times New Roman" w:cstheme="minorHAnsi"/>
                <w:color w:val="000000"/>
                <w:lang w:val="en-US"/>
              </w:rPr>
              <w:t>technologii</w:t>
            </w:r>
            <w:proofErr w:type="spellEnd"/>
            <w:r w:rsidRPr="00872DBB">
              <w:rPr>
                <w:rFonts w:eastAsia="Times New Roman" w:cstheme="minorHAnsi"/>
                <w:color w:val="000000"/>
                <w:lang w:val="en-US"/>
              </w:rPr>
              <w:t xml:space="preserve"> port mirroring </w:t>
            </w:r>
            <w:proofErr w:type="spellStart"/>
            <w:r w:rsidRPr="00872DBB">
              <w:rPr>
                <w:rFonts w:eastAsia="Times New Roman" w:cstheme="minorHAnsi"/>
                <w:color w:val="000000"/>
                <w:lang w:val="en-US"/>
              </w:rPr>
              <w:t>oraz</w:t>
            </w:r>
            <w:proofErr w:type="spellEnd"/>
            <w:r w:rsidRPr="00872DBB">
              <w:rPr>
                <w:rFonts w:eastAsia="Times New Roman" w:cstheme="minorHAnsi"/>
                <w:color w:val="000000"/>
                <w:lang w:val="en-US"/>
              </w:rPr>
              <w:t xml:space="preserve"> remote port mirroring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 xml:space="preserve">Obsługa </w:t>
            </w:r>
            <w:proofErr w:type="spellStart"/>
            <w:r>
              <w:rPr>
                <w:rFonts w:eastAsia="Times New Roman" w:cstheme="minorHAnsi"/>
                <w:color w:val="000000"/>
              </w:rPr>
              <w:t>funkcjonalnościi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Voice </w:t>
            </w:r>
            <w:proofErr w:type="spellStart"/>
            <w:r>
              <w:rPr>
                <w:rFonts w:eastAsia="Times New Roman" w:cstheme="minorHAnsi"/>
                <w:color w:val="000000"/>
              </w:rPr>
              <w:t>vlan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oraz Critical </w:t>
            </w:r>
            <w:proofErr w:type="spellStart"/>
            <w:r>
              <w:rPr>
                <w:rFonts w:eastAsia="Times New Roman" w:cstheme="minorHAnsi"/>
                <w:color w:val="000000"/>
              </w:rPr>
              <w:t>voice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vlan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(dostęp do </w:t>
            </w:r>
            <w:proofErr w:type="spellStart"/>
            <w:r>
              <w:rPr>
                <w:rFonts w:eastAsia="Times New Roman" w:cstheme="minorHAnsi"/>
                <w:color w:val="000000"/>
              </w:rPr>
              <w:t>vlan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voice</w:t>
            </w:r>
            <w:proofErr w:type="spellEnd"/>
            <w:r>
              <w:rPr>
                <w:rFonts w:eastAsia="Times New Roman" w:cstheme="minorHAnsi"/>
                <w:color w:val="000000"/>
              </w:rPr>
              <w:t>, w przypadku gdy niedostępny jest serwer Radius)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 xml:space="preserve">Obsługa </w:t>
            </w:r>
            <w:proofErr w:type="spellStart"/>
            <w:r>
              <w:rPr>
                <w:rFonts w:eastAsia="Times New Roman" w:cstheme="minorHAnsi"/>
                <w:color w:val="000000"/>
              </w:rPr>
              <w:t>Multicastów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, w tym MLD </w:t>
            </w:r>
            <w:proofErr w:type="spellStart"/>
            <w:r>
              <w:rPr>
                <w:rFonts w:eastAsia="Times New Roman" w:cstheme="minorHAnsi"/>
                <w:color w:val="000000"/>
              </w:rPr>
              <w:t>snooping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oraz IGMP </w:t>
            </w:r>
            <w:proofErr w:type="spellStart"/>
            <w:r>
              <w:rPr>
                <w:rFonts w:eastAsia="Times New Roman" w:cstheme="minorHAnsi"/>
                <w:color w:val="000000"/>
              </w:rPr>
              <w:t>Snooping</w:t>
            </w:r>
            <w:proofErr w:type="spellEnd"/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rPr>
                <w:rFonts w:cstheme="minorHAnsi"/>
                <w:bCs/>
              </w:rPr>
              <w:t>Funkcjonalność warstwy III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minimum 256 wpisów routingu statycznego IPv4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minimum 256 wpisów routingu dynamicznego IPv4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protokołu RIP2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rPr>
                <w:rFonts w:cstheme="minorHAnsi"/>
                <w:bCs/>
              </w:rPr>
              <w:t>Inne funkcjonalności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 xml:space="preserve">Obsługa 802.1x z dynamicznym przydziałem list ACL,  Mac </w:t>
            </w:r>
            <w:proofErr w:type="spellStart"/>
            <w:r>
              <w:rPr>
                <w:rFonts w:eastAsia="Times New Roman" w:cstheme="minorHAnsi"/>
                <w:color w:val="000000"/>
              </w:rPr>
              <w:t>Based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Authentication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Bypass  oraz </w:t>
            </w:r>
            <w:proofErr w:type="spellStart"/>
            <w:r>
              <w:rPr>
                <w:rFonts w:eastAsia="Times New Roman" w:cstheme="minorHAnsi"/>
                <w:color w:val="000000"/>
              </w:rPr>
              <w:t>Captive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Portal  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list kontroli dostępu opartych o adresy MAC i IP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czasowych list kontroli dostępu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Obsługa protokołu co najmniej jednego z protokołów (</w:t>
            </w:r>
            <w:proofErr w:type="spellStart"/>
            <w:r>
              <w:t>NetFlow</w:t>
            </w:r>
            <w:proofErr w:type="spellEnd"/>
            <w:r>
              <w:t xml:space="preserve">, </w:t>
            </w:r>
            <w:proofErr w:type="spellStart"/>
            <w:r>
              <w:t>SFlow</w:t>
            </w:r>
            <w:proofErr w:type="spellEnd"/>
            <w:r>
              <w:t>, IPFIX, NSEL), podać jaki protokół: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 xml:space="preserve">Obsługa kolejek </w:t>
            </w:r>
            <w:proofErr w:type="spellStart"/>
            <w:r>
              <w:rPr>
                <w:rFonts w:eastAsia="Times New Roman" w:cstheme="minorHAnsi"/>
                <w:color w:val="000000"/>
              </w:rPr>
              <w:t>QoS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na portach fizycznych</w:t>
            </w:r>
          </w:p>
          <w:p w:rsidR="000D2450" w:rsidRDefault="000D2450" w:rsidP="00ED4156">
            <w:pPr>
              <w:suppressAutoHyphens/>
            </w:pP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Moduły optyczne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 x zalecany przez producenta urządzenia moduł optyczny SFP – </w:t>
            </w:r>
            <w:proofErr w:type="spellStart"/>
            <w:r>
              <w:rPr>
                <w:rFonts w:eastAsia="Times New Roman" w:cstheme="minorHAnsi"/>
                <w:color w:val="000000"/>
              </w:rPr>
              <w:t>jednomodowy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– podać jaki: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 x zalecany przez producenta urządzenia moduł optyczny SFP – wielomodowy  – podać jaki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eastAsia="Times New Roman" w:cstheme="minorHAnsi"/>
                <w:color w:val="000000"/>
              </w:rPr>
              <w:t>1 x zalecany przez producenta urządzenia moduł optyczny SFP+ - wielomodowy  – podać jaki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Zgodność z protokołami</w:t>
            </w:r>
          </w:p>
        </w:tc>
        <w:tc>
          <w:tcPr>
            <w:tcW w:w="6146" w:type="dxa"/>
          </w:tcPr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802.1Q VLAN Tagging, Double VLAN Tagging, GVRP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802.1S Multiple Spanning Tree (MSTP)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802.1v </w:t>
            </w:r>
            <w:proofErr w:type="spellStart"/>
            <w:r>
              <w:rPr>
                <w:rFonts w:eastAsia="Times New Roman" w:cstheme="minorHAnsi"/>
                <w:color w:val="000000"/>
              </w:rPr>
              <w:t>Protocol-based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VLANs</w:t>
            </w:r>
            <w:proofErr w:type="spellEnd"/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802.1W Rapid Spanning Tree (RSTP)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802.1X Network Access Control, Auto VLAN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802.2 </w:t>
            </w:r>
            <w:proofErr w:type="spellStart"/>
            <w:r>
              <w:rPr>
                <w:rFonts w:eastAsia="Times New Roman" w:cstheme="minorHAnsi"/>
                <w:color w:val="000000"/>
              </w:rPr>
              <w:t>Logical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Link Control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802.3ab Gigabit Ethernet (1000BASE-T)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802.3ac Frame Extensions for VLAN Tagging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802.3ad Link </w:t>
            </w:r>
            <w:proofErr w:type="spellStart"/>
            <w:r>
              <w:rPr>
                <w:rFonts w:eastAsia="Times New Roman" w:cstheme="minorHAnsi"/>
                <w:color w:val="000000"/>
              </w:rPr>
              <w:t>Aggregation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with LACP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802.3AX LAG </w:t>
            </w:r>
            <w:proofErr w:type="spellStart"/>
            <w:r>
              <w:rPr>
                <w:rFonts w:eastAsia="Times New Roman" w:cstheme="minorHAnsi"/>
                <w:color w:val="000000"/>
              </w:rPr>
              <w:t>Load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Balancing</w:t>
            </w:r>
            <w:proofErr w:type="spellEnd"/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802.3az Energy Efficient Ethernet (EEE)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802.3u Fast Ethernet (100BASE-TX) on Management Ports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802.3x </w:t>
            </w:r>
            <w:proofErr w:type="spellStart"/>
            <w:r>
              <w:rPr>
                <w:rFonts w:eastAsia="Times New Roman" w:cstheme="minorHAnsi"/>
                <w:color w:val="000000"/>
              </w:rPr>
              <w:t>Flow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Control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802.3z Gigabit Ethernet (1000BASE-X)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eastAsia="Times New Roman" w:cstheme="minorHAnsi"/>
                <w:color w:val="000000"/>
              </w:rPr>
              <w:t>ANSI LLDP-MED (TIA-1057)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rPr>
                <w:rFonts w:eastAsia="Times New Roman" w:cstheme="minorHAnsi"/>
                <w:bCs/>
                <w:color w:val="000000"/>
              </w:rPr>
              <w:t>Zgodność ze standardami RFC w zakresie zarządzania siecią i bezpieczeństwa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1212 Concise MIB </w:t>
            </w:r>
            <w:proofErr w:type="spellStart"/>
            <w:r>
              <w:rPr>
                <w:rFonts w:eastAsia="Times New Roman" w:cstheme="minorHAnsi"/>
                <w:color w:val="000000"/>
              </w:rPr>
              <w:t>Definitions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1213 MIB-II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1215 SNMP </w:t>
            </w:r>
            <w:proofErr w:type="spellStart"/>
            <w:r>
              <w:rPr>
                <w:rFonts w:eastAsia="Times New Roman" w:cstheme="minorHAnsi"/>
                <w:color w:val="000000"/>
              </w:rPr>
              <w:t>Traps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1286 Bridge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1442 SMIv2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1451 Manager-</w:t>
            </w:r>
            <w:proofErr w:type="spellStart"/>
            <w:r>
              <w:rPr>
                <w:rFonts w:eastAsia="Times New Roman" w:cstheme="minorHAnsi"/>
                <w:color w:val="000000"/>
              </w:rPr>
              <w:t>toManager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1492 TACACS+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1493 </w:t>
            </w:r>
            <w:proofErr w:type="spellStart"/>
            <w:r>
              <w:rPr>
                <w:rFonts w:eastAsia="Times New Roman" w:cstheme="minorHAnsi"/>
                <w:color w:val="000000"/>
              </w:rPr>
              <w:t>Managed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Objects for Bridges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1573 </w:t>
            </w:r>
            <w:proofErr w:type="spellStart"/>
            <w:r>
              <w:rPr>
                <w:rFonts w:eastAsia="Times New Roman" w:cstheme="minorHAnsi"/>
                <w:color w:val="000000"/>
              </w:rPr>
              <w:t>Evolution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/>
              </w:rPr>
              <w:t>Interfaces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1612 DNS </w:t>
            </w:r>
            <w:proofErr w:type="spellStart"/>
            <w:r>
              <w:rPr>
                <w:rFonts w:eastAsia="Times New Roman" w:cstheme="minorHAnsi"/>
                <w:color w:val="000000"/>
              </w:rPr>
              <w:t>Resolver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MIB Extensions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1643 Ethernet-</w:t>
            </w:r>
            <w:proofErr w:type="spellStart"/>
            <w:r>
              <w:rPr>
                <w:rFonts w:eastAsia="Times New Roman" w:cstheme="minorHAnsi"/>
                <w:color w:val="000000"/>
              </w:rPr>
              <w:t>like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1757 RMON MIB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1867 HTML/2.0 Forms with File Upload Extensions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1901 </w:t>
            </w:r>
            <w:proofErr w:type="spellStart"/>
            <w:r>
              <w:rPr>
                <w:rFonts w:eastAsia="Times New Roman" w:cstheme="minorHAnsi"/>
                <w:color w:val="000000"/>
              </w:rPr>
              <w:t>Community-based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SNMPv2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1907 SNMPv2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2011 IP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2012 TCP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2013 UDP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2096 IP </w:t>
            </w:r>
            <w:proofErr w:type="spellStart"/>
            <w:r>
              <w:rPr>
                <w:rFonts w:eastAsia="Times New Roman" w:cstheme="minorHAnsi"/>
                <w:color w:val="000000"/>
              </w:rPr>
              <w:t>Forwarding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Table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2233 </w:t>
            </w:r>
            <w:proofErr w:type="spellStart"/>
            <w:r>
              <w:rPr>
                <w:rFonts w:eastAsia="Times New Roman" w:cstheme="minorHAnsi"/>
                <w:color w:val="000000"/>
              </w:rPr>
              <w:t>Interfaces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Group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using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SMIv2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2271 SNMP Framework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2295 Transport Content </w:t>
            </w:r>
            <w:proofErr w:type="spellStart"/>
            <w:r>
              <w:rPr>
                <w:rFonts w:eastAsia="Times New Roman" w:cstheme="minorHAnsi"/>
                <w:color w:val="000000"/>
              </w:rPr>
              <w:t>Negotiation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2296 Remote </w:t>
            </w:r>
            <w:proofErr w:type="spellStart"/>
            <w:r>
              <w:rPr>
                <w:rFonts w:eastAsia="Times New Roman" w:cstheme="minorHAnsi"/>
                <w:color w:val="000000"/>
              </w:rPr>
              <w:t>Variant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Selection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2346 AES </w:t>
            </w:r>
            <w:proofErr w:type="spellStart"/>
            <w:r>
              <w:rPr>
                <w:rFonts w:eastAsia="Times New Roman" w:cstheme="minorHAnsi"/>
                <w:color w:val="000000"/>
              </w:rPr>
              <w:t>Ciphersuites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for TLS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2576 </w:t>
            </w:r>
            <w:proofErr w:type="spellStart"/>
            <w:r>
              <w:rPr>
                <w:rFonts w:eastAsia="Times New Roman" w:cstheme="minorHAnsi"/>
                <w:color w:val="000000"/>
              </w:rPr>
              <w:t>Coexistence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Between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SNMPv1/v2/v3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2578 SMIv2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2579 </w:t>
            </w:r>
            <w:proofErr w:type="spellStart"/>
            <w:r>
              <w:rPr>
                <w:rFonts w:eastAsia="Times New Roman" w:cstheme="minorHAnsi"/>
                <w:color w:val="000000"/>
              </w:rPr>
              <w:t>Textual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Conventions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for SMIv2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2580 </w:t>
            </w:r>
            <w:proofErr w:type="spellStart"/>
            <w:r>
              <w:rPr>
                <w:rFonts w:eastAsia="Times New Roman" w:cstheme="minorHAnsi"/>
                <w:color w:val="000000"/>
              </w:rPr>
              <w:t>Conformance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Statements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for SMIv2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2613 RMON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2618 RADIUS </w:t>
            </w:r>
            <w:proofErr w:type="spellStart"/>
            <w:r>
              <w:rPr>
                <w:rFonts w:eastAsia="Times New Roman" w:cstheme="minorHAnsi"/>
                <w:color w:val="000000"/>
              </w:rPr>
              <w:t>Authentication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2620 RADIUS Accounting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2665 Ethernet-</w:t>
            </w:r>
            <w:proofErr w:type="spellStart"/>
            <w:r>
              <w:rPr>
                <w:rFonts w:eastAsia="Times New Roman" w:cstheme="minorHAnsi"/>
                <w:color w:val="000000"/>
              </w:rPr>
              <w:t>like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Interfaces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2674 Extended Bridge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2737 ENTITY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2818 HTTP </w:t>
            </w:r>
            <w:proofErr w:type="spellStart"/>
            <w:r>
              <w:rPr>
                <w:rFonts w:eastAsia="Times New Roman" w:cstheme="minorHAnsi"/>
                <w:color w:val="000000"/>
              </w:rPr>
              <w:t>over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TLS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2863 </w:t>
            </w:r>
            <w:proofErr w:type="spellStart"/>
            <w:r>
              <w:rPr>
                <w:rFonts w:eastAsia="Times New Roman" w:cstheme="minorHAnsi"/>
                <w:color w:val="000000"/>
              </w:rPr>
              <w:t>Interfaces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2865 RADIUS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2866 RADIUS Accounting</w:t>
            </w:r>
          </w:p>
          <w:p w:rsidR="000D2450" w:rsidRPr="00872DBB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  <w:lang w:val="en-US"/>
              </w:rPr>
            </w:pPr>
            <w:r w:rsidRPr="00872DBB">
              <w:rPr>
                <w:rFonts w:eastAsia="Times New Roman" w:cstheme="minorHAnsi"/>
                <w:color w:val="000000"/>
                <w:lang w:val="en-US"/>
              </w:rPr>
              <w:t>2868 RADIUS Attributes for Tunnel Prot.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2869 RADIUS Extensions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3410 Internet Standard </w:t>
            </w:r>
            <w:proofErr w:type="spellStart"/>
            <w:r>
              <w:rPr>
                <w:rFonts w:eastAsia="Times New Roman" w:cstheme="minorHAnsi"/>
                <w:color w:val="000000"/>
              </w:rPr>
              <w:t>Mgmt</w:t>
            </w:r>
            <w:proofErr w:type="spellEnd"/>
            <w:r>
              <w:rPr>
                <w:rFonts w:eastAsia="Times New Roman" w:cstheme="minorHAnsi"/>
                <w:color w:val="000000"/>
              </w:rPr>
              <w:t>. Framework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3411 SNMP Management Framework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3412 Message Processing and </w:t>
            </w:r>
            <w:proofErr w:type="spellStart"/>
            <w:r>
              <w:rPr>
                <w:rFonts w:eastAsia="Times New Roman" w:cstheme="minorHAnsi"/>
                <w:color w:val="000000"/>
              </w:rPr>
              <w:t>Dispatching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3413 SNMP Applications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3414 User-</w:t>
            </w:r>
            <w:proofErr w:type="spellStart"/>
            <w:r>
              <w:rPr>
                <w:rFonts w:eastAsia="Times New Roman" w:cstheme="minorHAnsi"/>
                <w:color w:val="000000"/>
              </w:rPr>
              <w:t>based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security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model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3415 </w:t>
            </w:r>
            <w:proofErr w:type="spellStart"/>
            <w:r>
              <w:rPr>
                <w:rFonts w:eastAsia="Times New Roman" w:cstheme="minorHAnsi"/>
                <w:color w:val="000000"/>
              </w:rPr>
              <w:t>View-based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control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model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3416 SNMPv2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3418 SNMP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3580 802.1X with RADIUS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3737 Registry of RMOM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4086 </w:t>
            </w:r>
            <w:proofErr w:type="spellStart"/>
            <w:r>
              <w:rPr>
                <w:rFonts w:eastAsia="Times New Roman" w:cstheme="minorHAnsi"/>
                <w:color w:val="000000"/>
              </w:rPr>
              <w:t>Randomness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Requirements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4113 UDP MIB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4251 SSHv2 </w:t>
            </w:r>
            <w:proofErr w:type="spellStart"/>
            <w:r>
              <w:rPr>
                <w:rFonts w:eastAsia="Times New Roman" w:cstheme="minorHAnsi"/>
                <w:color w:val="000000"/>
              </w:rPr>
              <w:t>Protocol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4252 SSHv2 </w:t>
            </w:r>
            <w:proofErr w:type="spellStart"/>
            <w:r>
              <w:rPr>
                <w:rFonts w:eastAsia="Times New Roman" w:cstheme="minorHAnsi"/>
                <w:color w:val="000000"/>
              </w:rPr>
              <w:t>Authentication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4253 SSHv2 Transport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4254 SSHv2 Connection </w:t>
            </w:r>
            <w:proofErr w:type="spellStart"/>
            <w:r>
              <w:rPr>
                <w:rFonts w:eastAsia="Times New Roman" w:cstheme="minorHAnsi"/>
                <w:color w:val="000000"/>
              </w:rPr>
              <w:t>Protocol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4419 SSHv2 Transport </w:t>
            </w:r>
            <w:proofErr w:type="spellStart"/>
            <w:r>
              <w:rPr>
                <w:rFonts w:eastAsia="Times New Roman" w:cstheme="minorHAnsi"/>
                <w:color w:val="000000"/>
              </w:rPr>
              <w:t>Layer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Protocol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4521 LDAP Extensions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4716 SECSH Public </w:t>
            </w:r>
            <w:proofErr w:type="spellStart"/>
            <w:r>
              <w:rPr>
                <w:rFonts w:eastAsia="Times New Roman" w:cstheme="minorHAnsi"/>
                <w:color w:val="000000"/>
              </w:rPr>
              <w:t>Key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File Format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4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6101 SSL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lastRenderedPageBreak/>
              <w:t>Warunki środowiskowe</w:t>
            </w:r>
          </w:p>
        </w:tc>
        <w:tc>
          <w:tcPr>
            <w:tcW w:w="6146" w:type="dxa"/>
          </w:tcPr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Przystosowanie do pracy w temperaturze minimum w zakresie 0-45 stopni </w:t>
            </w:r>
            <w:proofErr w:type="spellStart"/>
            <w:r>
              <w:rPr>
                <w:rFonts w:eastAsia="Times New Roman" w:cstheme="minorHAnsi"/>
                <w:color w:val="000000"/>
              </w:rPr>
              <w:t>Celcjusza</w:t>
            </w:r>
            <w:proofErr w:type="spellEnd"/>
          </w:p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color w:val="000000"/>
              </w:rPr>
              <w:t>Przystosowanie do pracy w wilgotności minimum w zakresie 10-90 procent wilgotności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Gwarancja i serwis</w:t>
            </w:r>
          </w:p>
        </w:tc>
        <w:tc>
          <w:tcPr>
            <w:tcW w:w="6146" w:type="dxa"/>
          </w:tcPr>
          <w:p w:rsidR="000D2450" w:rsidRDefault="001D7792" w:rsidP="00ED4156">
            <w:pPr>
              <w:suppressAutoHyphens/>
              <w:rPr>
                <w:rFonts w:eastAsia="Calibri" w:hAnsi="Calibri" w:cs="Arial"/>
                <w:shd w:val="clear" w:color="auto" w:fill="FFFFFF"/>
              </w:rPr>
            </w:pPr>
            <w:r>
              <w:rPr>
                <w:rFonts w:eastAsia="Calibri" w:hAnsi="Calibri" w:cs="Arial"/>
                <w:shd w:val="clear" w:color="auto" w:fill="FFFFFF"/>
              </w:rPr>
              <w:t>Min. okres 12</w:t>
            </w:r>
            <w:r w:rsidR="000D2450">
              <w:rPr>
                <w:rFonts w:eastAsia="Calibri" w:hAnsi="Calibri" w:cs="Arial"/>
                <w:shd w:val="clear" w:color="auto" w:fill="FFFFFF"/>
              </w:rPr>
              <w:t xml:space="preserve"> m-</w:t>
            </w:r>
            <w:proofErr w:type="spellStart"/>
            <w:r w:rsidR="000D2450">
              <w:rPr>
                <w:rFonts w:eastAsia="Calibri" w:hAnsi="Calibri" w:cs="Arial"/>
                <w:shd w:val="clear" w:color="auto" w:fill="FFFFFF"/>
              </w:rPr>
              <w:t>cy</w:t>
            </w:r>
            <w:proofErr w:type="spellEnd"/>
            <w:r w:rsidR="000D2450">
              <w:rPr>
                <w:rFonts w:eastAsia="Calibri" w:hAnsi="Calibri" w:cs="Arial"/>
                <w:shd w:val="clear" w:color="auto" w:fill="FFFFFF"/>
              </w:rPr>
              <w:t xml:space="preserve">, możliwość zgłaszania awarii w trybie 24x7x365 poprzez stronę internetową i/lub e-mail oraz telefonicznie w dni robocze w godzinach 8-16. </w:t>
            </w:r>
          </w:p>
          <w:p w:rsidR="000D2450" w:rsidRDefault="000D2450" w:rsidP="00ED4156">
            <w:pPr>
              <w:suppressAutoHyphens/>
              <w:rPr>
                <w:rFonts w:cs="Arial"/>
                <w:shd w:val="clear" w:color="auto" w:fill="FFFFFF"/>
              </w:rPr>
            </w:pPr>
          </w:p>
          <w:p w:rsidR="000D2450" w:rsidRDefault="000D2450" w:rsidP="00ED4156">
            <w:pPr>
              <w:suppressAutoHyphens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Ogólny czas naprawy wraz z transportem nie może przekroczyć 30 dni roboczych. </w:t>
            </w:r>
          </w:p>
          <w:p w:rsidR="000D2450" w:rsidRDefault="000D2450" w:rsidP="00ED4156">
            <w:pPr>
              <w:suppressAutoHyphens/>
              <w:rPr>
                <w:rFonts w:cs="Arial"/>
                <w:shd w:val="clear" w:color="auto" w:fill="FFFFFF"/>
              </w:rPr>
            </w:pPr>
          </w:p>
          <w:p w:rsidR="000D2450" w:rsidRDefault="000D2450" w:rsidP="00ED4156">
            <w:pPr>
              <w:suppressAutoHyphens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Nie później niż następnego dnia po przekroczeniu terminu 3 dni </w:t>
            </w:r>
            <w:r>
              <w:rPr>
                <w:rFonts w:cs="Arial"/>
                <w:shd w:val="clear" w:color="auto" w:fill="FFFFFF"/>
              </w:rPr>
              <w:lastRenderedPageBreak/>
              <w:t>roboczych obowiązany jest dostarczyć sprzęt zastępczy o parametrach umożliwiających poprawną pracę sieci  w ramach wykonanej konfiguracji.</w:t>
            </w:r>
          </w:p>
          <w:p w:rsidR="000D2450" w:rsidRDefault="000D2450" w:rsidP="00ED4156">
            <w:pPr>
              <w:suppressAutoHyphens/>
              <w:rPr>
                <w:rFonts w:cs="Arial"/>
                <w:shd w:val="clear" w:color="auto" w:fill="FFFFFF"/>
              </w:rPr>
            </w:pPr>
          </w:p>
          <w:p w:rsidR="000D2450" w:rsidRDefault="000D2450" w:rsidP="00ED4156">
            <w:pPr>
              <w:pStyle w:val="Akapitzlist"/>
              <w:ind w:left="-112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Nie później niż następnego dnia po przekroczenia terminu 30 dni wykonawca obowiązany jest dostarczyć nowy sprzęt w miejsce uszkodzonego.</w:t>
            </w:r>
          </w:p>
          <w:p w:rsidR="000D2450" w:rsidRDefault="000D2450" w:rsidP="00ED4156">
            <w:pPr>
              <w:pStyle w:val="Akapitzlist"/>
              <w:ind w:left="-112"/>
              <w:rPr>
                <w:rFonts w:cs="Arial"/>
                <w:shd w:val="clear" w:color="auto" w:fill="FFFFFF"/>
              </w:rPr>
            </w:pPr>
          </w:p>
          <w:p w:rsidR="000D2450" w:rsidRDefault="000D2450" w:rsidP="00ED4156">
            <w:pPr>
              <w:pStyle w:val="Akapitzlist"/>
              <w:ind w:left="-112"/>
            </w:pPr>
            <w:r>
              <w:rPr>
                <w:rFonts w:eastAsia="Times New Roman" w:cstheme="minorHAnsi"/>
                <w:color w:val="000000"/>
              </w:rPr>
              <w:t>Wykonawca zobowiązuje się zapewnić dostęp do najnowszych sterowników i uaktualnień na stronie producenta sprzętu realizowany poprzez podanie na dedykowanej stronie internetowej producenta numeru seryjnego lub modelu.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lastRenderedPageBreak/>
              <w:t>Dostawa i odbiór sprzętu</w:t>
            </w:r>
          </w:p>
        </w:tc>
        <w:tc>
          <w:tcPr>
            <w:tcW w:w="6146" w:type="dxa"/>
          </w:tcPr>
          <w:p w:rsidR="000D2450" w:rsidRDefault="000D2450" w:rsidP="00ED4156">
            <w:pPr>
              <w:pStyle w:val="Akapitzlist"/>
              <w:ind w:left="-11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Wykonawca dostarcza sprzęt do siedziby Zamawiającego w oryginalnie zapakowanych i zaplombowanych opakowaniach w ustalonym z Zamawiającym terminie.</w:t>
            </w:r>
          </w:p>
          <w:p w:rsidR="000D2450" w:rsidRDefault="000D2450" w:rsidP="00ED4156">
            <w:pPr>
              <w:pStyle w:val="Akapitzlist"/>
              <w:ind w:left="-112"/>
              <w:rPr>
                <w:rFonts w:eastAsia="Times New Roman" w:cstheme="minorHAnsi"/>
                <w:color w:val="000000"/>
              </w:rPr>
            </w:pPr>
          </w:p>
          <w:p w:rsidR="000D2450" w:rsidRDefault="000D2450" w:rsidP="00ED4156">
            <w:pPr>
              <w:pStyle w:val="Akapitzlist"/>
              <w:ind w:left="-11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Urządzenia po dostarczeniu podlegają przeglądowi i ocenie przez Zamawiającego w obecności przedstawiciela Wykonawcy w ustalonym z Zamawiającym terminie.</w:t>
            </w:r>
          </w:p>
          <w:p w:rsidR="000D2450" w:rsidRDefault="000D2450" w:rsidP="00ED4156">
            <w:pPr>
              <w:pStyle w:val="Akapitzlist"/>
              <w:ind w:left="-112"/>
              <w:rPr>
                <w:rFonts w:eastAsia="Times New Roman" w:cstheme="minorHAnsi"/>
                <w:color w:val="000000"/>
              </w:rPr>
            </w:pPr>
          </w:p>
          <w:p w:rsidR="000D2450" w:rsidRDefault="000D2450" w:rsidP="00ED4156">
            <w:pPr>
              <w:pStyle w:val="Akapitzlist"/>
              <w:ind w:left="-112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Zgodnie z ustalonym z Zamawiającym harmonogramem Wykonawca: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  <w:tabs>
                <w:tab w:val="clear" w:pos="420"/>
              </w:tabs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rozmieszcza i podłącza sprzęt do wskazanych przez zamawiającego źródeł energii oraz punktów dostępowych sieci LAN znajdujących się w siedzibie Zamawiającego.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color w:val="000000"/>
              </w:rPr>
              <w:t>dokonuje uruchomienia, instalacji, konfiguracji oraz aktywacji licencji (o ile jest to wymagane) niezbędnych do osiągnięcia funkcjonalności opisanej w OPZ .</w:t>
            </w: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Oświadczenia</w:t>
            </w:r>
          </w:p>
        </w:tc>
        <w:tc>
          <w:tcPr>
            <w:tcW w:w="6146" w:type="dxa"/>
          </w:tcPr>
          <w:p w:rsidR="000D2450" w:rsidRDefault="000D2450" w:rsidP="00ED415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Zamawiający wymaga a Wykonawca oświadcza, że oferowane urządzenia sieciowe spełniają poniższe wymogi i standardy: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Są wyprodukowane z zachowaniem normy jakościowej ISO 9001 oraz ISO 14001 lub równoważnych środków zapewnienia jakości;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Posiadają deklarację zgodności CE; </w:t>
            </w:r>
          </w:p>
          <w:p w:rsidR="000D2450" w:rsidRDefault="000D2450" w:rsidP="00ED4156">
            <w:pPr>
              <w:pStyle w:val="Akapitzlist"/>
              <w:suppressAutoHyphens w:val="0"/>
              <w:ind w:left="284"/>
              <w:rPr>
                <w:rFonts w:cstheme="minorHAnsi"/>
              </w:rPr>
            </w:pPr>
          </w:p>
          <w:p w:rsidR="000D2450" w:rsidRDefault="000D2450" w:rsidP="00ED415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Zamawiający wymaga a Wykonawca oświadcza, że w celu dokonania odbioru końcowego przez Zamawiającego Wykonawca złoży następujące dokumenty:</w:t>
            </w:r>
          </w:p>
          <w:p w:rsidR="000D2450" w:rsidRDefault="000D2450" w:rsidP="00ED4156">
            <w:pPr>
              <w:pStyle w:val="Akapitzlist"/>
              <w:ind w:left="284"/>
              <w:rPr>
                <w:rFonts w:cstheme="minorHAnsi"/>
              </w:rPr>
            </w:pPr>
          </w:p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Certyfikat ISO 9001:2000 producenta lub równoważny dokument zapewnienia jakości dla oferowanego urządzenia.</w:t>
            </w:r>
          </w:p>
          <w:p w:rsidR="000D2450" w:rsidRDefault="000D2450" w:rsidP="000D245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Certyfikat ISO 14001 producenta lub równoważny dokument zapewnienia ochrony środowiska.</w:t>
            </w:r>
          </w:p>
          <w:p w:rsidR="000D2450" w:rsidRDefault="000D2450" w:rsidP="00ED4156">
            <w:pPr>
              <w:suppressAutoHyphens/>
              <w:rPr>
                <w:strike/>
              </w:rPr>
            </w:pPr>
          </w:p>
        </w:tc>
      </w:tr>
      <w:tr w:rsidR="000D2450" w:rsidTr="00ED4156">
        <w:tc>
          <w:tcPr>
            <w:tcW w:w="2631" w:type="dxa"/>
          </w:tcPr>
          <w:p w:rsidR="000D2450" w:rsidRDefault="000D2450" w:rsidP="00ED4156">
            <w:pPr>
              <w:suppressAutoHyphens/>
            </w:pPr>
            <w:r>
              <w:t>Konfiguracja</w:t>
            </w:r>
          </w:p>
        </w:tc>
        <w:tc>
          <w:tcPr>
            <w:tcW w:w="6146" w:type="dxa"/>
          </w:tcPr>
          <w:p w:rsidR="000D2450" w:rsidRDefault="000D2450" w:rsidP="00ED4156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 xml:space="preserve">Opis konfiguracji wspólnej dla UTM i </w:t>
            </w:r>
            <w:proofErr w:type="spellStart"/>
            <w:r>
              <w:rPr>
                <w:rFonts w:cstheme="minorHAnsi"/>
              </w:rPr>
              <w:t>switchy</w:t>
            </w:r>
            <w:proofErr w:type="spellEnd"/>
            <w:r>
              <w:rPr>
                <w:rFonts w:cstheme="minorHAnsi"/>
              </w:rPr>
              <w:t xml:space="preserve"> w specyfikacji urządzenia UTM</w:t>
            </w:r>
          </w:p>
        </w:tc>
      </w:tr>
    </w:tbl>
    <w:p w:rsidR="002A3AAE" w:rsidRDefault="00EC53B9" w:rsidP="000D2450"/>
    <w:p w:rsidR="005C15CB" w:rsidRDefault="005C15CB" w:rsidP="00EC53B9">
      <w:pPr>
        <w:pStyle w:val="Nagwek1"/>
        <w:numPr>
          <w:ilvl w:val="0"/>
          <w:numId w:val="8"/>
        </w:numPr>
        <w:ind w:left="426"/>
      </w:pPr>
      <w:r>
        <w:t>Szczegółowa specyfikacja sprzętu – UPS.</w:t>
      </w:r>
    </w:p>
    <w:p w:rsidR="005C15CB" w:rsidRDefault="005C15CB" w:rsidP="005C15CB">
      <w:pPr>
        <w:ind w:left="-284" w:right="-567"/>
      </w:pPr>
    </w:p>
    <w:tbl>
      <w:tblPr>
        <w:tblStyle w:val="Tabela-Siatka"/>
        <w:tblW w:w="8777" w:type="dxa"/>
        <w:tblLayout w:type="fixed"/>
        <w:tblLook w:val="04A0" w:firstRow="1" w:lastRow="0" w:firstColumn="1" w:lastColumn="0" w:noHBand="0" w:noVBand="1"/>
      </w:tblPr>
      <w:tblGrid>
        <w:gridCol w:w="2631"/>
        <w:gridCol w:w="6146"/>
      </w:tblGrid>
      <w:tr w:rsidR="005C15CB" w:rsidTr="00ED4156">
        <w:tc>
          <w:tcPr>
            <w:tcW w:w="8777" w:type="dxa"/>
            <w:gridSpan w:val="2"/>
            <w:vAlign w:val="center"/>
          </w:tcPr>
          <w:p w:rsidR="005C15CB" w:rsidRDefault="005C15CB" w:rsidP="00ED4156">
            <w:pPr>
              <w:keepNext/>
              <w:keepLines/>
              <w:suppressAutoHyphens/>
              <w:spacing w:before="360" w:after="120"/>
              <w:jc w:val="center"/>
              <w:outlineLvl w:val="1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Dostawa UPS - wymagania</w:t>
            </w:r>
          </w:p>
          <w:p w:rsidR="005C15CB" w:rsidRDefault="005C15CB" w:rsidP="00ED4156">
            <w:pPr>
              <w:suppressAutoHyphens/>
              <w:jc w:val="center"/>
            </w:pPr>
          </w:p>
        </w:tc>
      </w:tr>
      <w:tr w:rsidR="005C15CB" w:rsidTr="00ED4156">
        <w:tc>
          <w:tcPr>
            <w:tcW w:w="2631" w:type="dxa"/>
            <w:vAlign w:val="center"/>
          </w:tcPr>
          <w:p w:rsidR="005C15CB" w:rsidRDefault="005C15CB" w:rsidP="00ED4156">
            <w:pPr>
              <w:suppressAutoHyphens/>
              <w:spacing w:before="100" w:beforeAutospacing="1" w:after="100" w:afterAutospacing="1" w:line="256" w:lineRule="auto"/>
              <w:jc w:val="center"/>
            </w:pPr>
            <w:r>
              <w:rPr>
                <w:rFonts w:ascii="Calibri" w:eastAsia="Times New Roman" w:hAnsi="Calibri" w:cs="Times New Roman"/>
              </w:rPr>
              <w:t>PARAMETR</w:t>
            </w:r>
          </w:p>
        </w:tc>
        <w:tc>
          <w:tcPr>
            <w:tcW w:w="6146" w:type="dxa"/>
            <w:vAlign w:val="center"/>
          </w:tcPr>
          <w:p w:rsidR="005C15CB" w:rsidRDefault="005C15CB" w:rsidP="00ED4156">
            <w:pPr>
              <w:suppressAutoHyphens/>
              <w:spacing w:before="100" w:beforeAutospacing="1" w:after="100" w:afterAutospacing="1" w:line="256" w:lineRule="auto"/>
              <w:jc w:val="center"/>
            </w:pPr>
            <w:r>
              <w:rPr>
                <w:rFonts w:ascii="Calibri" w:eastAsia="Times New Roman" w:hAnsi="Calibri" w:cs="Times New Roman"/>
              </w:rPr>
              <w:t>WYMAGANIA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Sprzęt wyprodukowany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</w:pPr>
            <w:r>
              <w:rPr>
                <w:rFonts w:eastAsia="Calibri"/>
              </w:rPr>
              <w:t>Nie wcześniej niż 12 miesięcy przed datą publikacji ogłoszenia</w:t>
            </w:r>
          </w:p>
        </w:tc>
      </w:tr>
      <w:tr w:rsidR="005C15CB" w:rsidTr="00ED4156">
        <w:trPr>
          <w:trHeight w:val="296"/>
        </w:trPr>
        <w:tc>
          <w:tcPr>
            <w:tcW w:w="2631" w:type="dxa"/>
          </w:tcPr>
          <w:p w:rsidR="005C15CB" w:rsidRDefault="005C15CB" w:rsidP="00ED4156">
            <w:pPr>
              <w:suppressAutoHyphens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lastRenderedPageBreak/>
              <w:t xml:space="preserve">Obudowa 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  <w:rPr>
                <w:bCs/>
              </w:rPr>
            </w:pPr>
            <w:r>
              <w:rPr>
                <w:bCs/>
                <w:lang w:val="pl"/>
              </w:rPr>
              <w:t xml:space="preserve">Typu </w:t>
            </w:r>
            <w:r>
              <w:rPr>
                <w:bCs/>
              </w:rPr>
              <w:t>RACK 1 lub 2 U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Napięcie wejściowe</w:t>
            </w:r>
          </w:p>
        </w:tc>
        <w:tc>
          <w:tcPr>
            <w:tcW w:w="6146" w:type="dxa"/>
          </w:tcPr>
          <w:p w:rsidR="005C15CB" w:rsidRDefault="005C15CB" w:rsidP="00ED4156">
            <w:pPr>
              <w:pStyle w:val="Akapitzlist"/>
              <w:ind w:left="-112" w:firstLineChars="50" w:firstLine="100"/>
            </w:pPr>
            <w:r>
              <w:t xml:space="preserve">Zakres napięcia wejściowego 160-270 V 50 </w:t>
            </w:r>
            <w:proofErr w:type="spellStart"/>
            <w:r>
              <w:t>Hz</w:t>
            </w:r>
            <w:proofErr w:type="spellEnd"/>
            <w:r>
              <w:t xml:space="preserve"> wartości skutecznej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Napięcie wyjściowe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</w:pPr>
            <w:r>
              <w:t>Czysta sinusoida, 230V wartości skutecznej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Czas przełączenia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</w:pPr>
            <w:r>
              <w:t>Maksymalnie 6 ms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Czas pracy na baterii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</w:pPr>
            <w:r>
              <w:t>Min 7 min. przy obciążeniu 50%, min. 30 min. przy obciążeniu 200W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Czas ładowania po pełnym rozładowaniu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</w:pPr>
            <w:r>
              <w:t>Max. 4 godz.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DF77F0">
            <w:pPr>
              <w:suppressAutoHyphens/>
            </w:pPr>
            <w:r>
              <w:t xml:space="preserve">Moc </w:t>
            </w:r>
            <w:r w:rsidR="00DF77F0">
              <w:t>rzeczywista</w:t>
            </w:r>
          </w:p>
        </w:tc>
        <w:tc>
          <w:tcPr>
            <w:tcW w:w="6146" w:type="dxa"/>
          </w:tcPr>
          <w:p w:rsidR="005C15CB" w:rsidRDefault="005C15CB" w:rsidP="00DF77F0">
            <w:pPr>
              <w:suppressAutoHyphens/>
              <w:rPr>
                <w:rFonts w:ascii="Calibri" w:eastAsia="Calibri" w:hAnsi="Calibri" w:cs="Calibri"/>
                <w:lang w:bidi="ar"/>
              </w:rPr>
            </w:pPr>
            <w:r>
              <w:rPr>
                <w:rFonts w:ascii="Calibri" w:eastAsia="Calibri" w:hAnsi="Calibri" w:cs="Calibri"/>
                <w:lang w:bidi="ar"/>
              </w:rPr>
              <w:t xml:space="preserve">Min. </w:t>
            </w:r>
            <w:r w:rsidR="00DF77F0">
              <w:rPr>
                <w:rFonts w:ascii="Calibri" w:eastAsia="Calibri" w:hAnsi="Calibri" w:cs="Calibri"/>
                <w:lang w:bidi="ar"/>
              </w:rPr>
              <w:t>190</w:t>
            </w:r>
            <w:r w:rsidR="001F4507">
              <w:rPr>
                <w:rFonts w:ascii="Calibri" w:eastAsia="Calibri" w:hAnsi="Calibri" w:cs="Calibri"/>
                <w:lang w:bidi="ar"/>
              </w:rPr>
              <w:t>1`</w:t>
            </w:r>
            <w:r w:rsidR="00DF77F0">
              <w:rPr>
                <w:rFonts w:ascii="Calibri" w:eastAsia="Calibri" w:hAnsi="Calibri" w:cs="Calibri"/>
                <w:lang w:bidi="ar"/>
              </w:rPr>
              <w:t>0</w:t>
            </w:r>
            <w:r>
              <w:rPr>
                <w:rFonts w:ascii="Calibri" w:eastAsia="Calibri" w:hAnsi="Calibri" w:cs="Calibri"/>
                <w:lang w:bidi="ar"/>
              </w:rPr>
              <w:t xml:space="preserve"> W, min. 1500 VA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Komunikacja</w:t>
            </w:r>
          </w:p>
        </w:tc>
        <w:tc>
          <w:tcPr>
            <w:tcW w:w="6146" w:type="dxa"/>
          </w:tcPr>
          <w:p w:rsidR="005C15CB" w:rsidRDefault="005C15CB" w:rsidP="00ED4156">
            <w:pPr>
              <w:pStyle w:val="Akapitzlist"/>
              <w:ind w:left="0"/>
            </w:pPr>
            <w:r>
              <w:t>Port komunikacyjny USB, wyświetlacz, sterowanie UPS z wbudowanej klawiatury oraz poprzez dołączone oprogramowanie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Wyjścia 230V</w:t>
            </w:r>
          </w:p>
        </w:tc>
        <w:tc>
          <w:tcPr>
            <w:tcW w:w="6146" w:type="dxa"/>
          </w:tcPr>
          <w:p w:rsidR="005C15CB" w:rsidRDefault="005C15CB" w:rsidP="00ED4156">
            <w:pPr>
              <w:pStyle w:val="Akapitzlist"/>
              <w:ind w:left="-112" w:firstLineChars="50" w:firstLine="10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Min 4 gniazda IEC C13 (10A)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Akcesoria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  <w:rPr>
                <w:rFonts w:eastAsia="Calibri"/>
                <w:bCs/>
              </w:rPr>
            </w:pPr>
            <w:r>
              <w:t xml:space="preserve">Kabel zasilający, kabel USB, kable </w:t>
            </w:r>
            <w:r>
              <w:rPr>
                <w:rFonts w:eastAsia="Calibri"/>
                <w:bCs/>
              </w:rPr>
              <w:t>IEC C13/C14 ( Liczba kabli odpowiednia do liczby wyjść zasilacza )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 xml:space="preserve">Oprogramowanie 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</w:pPr>
            <w:r>
              <w:t>Oprogramowanie w języku polskim umożliwiające komunikację z komputerem o funkcjonalności:</w:t>
            </w:r>
          </w:p>
          <w:p w:rsidR="005C15CB" w:rsidRDefault="005C15CB" w:rsidP="005C15CB">
            <w:pPr>
              <w:numPr>
                <w:ilvl w:val="0"/>
                <w:numId w:val="5"/>
              </w:numPr>
              <w:suppressAutoHyphens/>
            </w:pPr>
            <w:r>
              <w:t>podgląd aktualnych parametrów UPS</w:t>
            </w:r>
          </w:p>
          <w:p w:rsidR="005C15CB" w:rsidRDefault="005C15CB" w:rsidP="005C15CB">
            <w:pPr>
              <w:numPr>
                <w:ilvl w:val="0"/>
                <w:numId w:val="5"/>
              </w:numPr>
              <w:suppressAutoHyphens/>
            </w:pPr>
            <w:r>
              <w:t>powiadamianie e-mail o wybranych zdarzeniach</w:t>
            </w:r>
          </w:p>
          <w:p w:rsidR="005C15CB" w:rsidRDefault="005C15CB" w:rsidP="005C15CB">
            <w:pPr>
              <w:numPr>
                <w:ilvl w:val="0"/>
                <w:numId w:val="5"/>
              </w:numPr>
              <w:suppressAutoHyphens/>
            </w:pPr>
            <w:r>
              <w:t>logowanie zdarzeń</w:t>
            </w:r>
          </w:p>
          <w:p w:rsidR="005C15CB" w:rsidRDefault="005C15CB" w:rsidP="005C15CB">
            <w:pPr>
              <w:numPr>
                <w:ilvl w:val="0"/>
                <w:numId w:val="5"/>
              </w:numPr>
              <w:suppressAutoHyphens/>
            </w:pPr>
            <w:r>
              <w:t xml:space="preserve">wykonanie </w:t>
            </w:r>
            <w:proofErr w:type="spellStart"/>
            <w:r>
              <w:t>autotestu</w:t>
            </w:r>
            <w:proofErr w:type="spellEnd"/>
            <w:r>
              <w:t>, możliwość zdefiniowania harmonogramu</w:t>
            </w:r>
          </w:p>
          <w:p w:rsidR="005C15CB" w:rsidRDefault="005C15CB" w:rsidP="005C15CB">
            <w:pPr>
              <w:numPr>
                <w:ilvl w:val="0"/>
                <w:numId w:val="5"/>
              </w:numPr>
              <w:suppressAutoHyphens/>
            </w:pPr>
            <w:r>
              <w:t xml:space="preserve">możliwość skonfigurowania harmonogramu </w:t>
            </w:r>
            <w:proofErr w:type="spellStart"/>
            <w:r>
              <w:t>wyłączeń</w:t>
            </w:r>
            <w:proofErr w:type="spellEnd"/>
            <w:r>
              <w:t xml:space="preserve"> i włączeń</w:t>
            </w:r>
          </w:p>
          <w:p w:rsidR="005C15CB" w:rsidRDefault="005C15CB" w:rsidP="005C15CB">
            <w:pPr>
              <w:numPr>
                <w:ilvl w:val="0"/>
                <w:numId w:val="5"/>
              </w:numPr>
              <w:suppressAutoHyphens/>
            </w:pPr>
            <w:r>
              <w:t xml:space="preserve">automatyczne zamknięcie systemu operacyjnego zasilanego komputera </w:t>
            </w:r>
          </w:p>
          <w:p w:rsidR="005C15CB" w:rsidRDefault="005C15CB" w:rsidP="005C15CB">
            <w:pPr>
              <w:numPr>
                <w:ilvl w:val="0"/>
                <w:numId w:val="5"/>
              </w:numPr>
              <w:suppressAutoHyphens/>
            </w:pPr>
            <w:r>
              <w:t>definiowanie parametrów zamknięcia systemu ( czas od zaniku zasilania, %% naładowania baterii, definiowanie czasu niezbędnego do zamknięcia monitorowanego systemu)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Gwarancja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  <w:rPr>
                <w:rFonts w:eastAsia="Calibri" w:hAnsi="Calibri"/>
                <w:shd w:val="clear" w:color="auto" w:fill="FFFFFF"/>
              </w:rPr>
            </w:pPr>
            <w:r>
              <w:rPr>
                <w:rFonts w:eastAsia="Calibri" w:hAnsi="Calibri"/>
                <w:shd w:val="clear" w:color="auto" w:fill="FFFFFF"/>
              </w:rPr>
              <w:t xml:space="preserve">Min. okres </w:t>
            </w:r>
            <w:r w:rsidR="001D7792">
              <w:rPr>
                <w:rFonts w:eastAsia="Calibri" w:hAnsi="Calibri"/>
                <w:shd w:val="clear" w:color="auto" w:fill="FFFFFF"/>
              </w:rPr>
              <w:t>12 m-</w:t>
            </w:r>
            <w:proofErr w:type="spellStart"/>
            <w:r w:rsidR="001D7792">
              <w:rPr>
                <w:rFonts w:eastAsia="Calibri" w:hAnsi="Calibri"/>
                <w:shd w:val="clear" w:color="auto" w:fill="FFFFFF"/>
              </w:rPr>
              <w:t>cy</w:t>
            </w:r>
            <w:proofErr w:type="spellEnd"/>
            <w:r>
              <w:rPr>
                <w:rFonts w:eastAsia="Calibri" w:hAnsi="Calibri"/>
                <w:shd w:val="clear" w:color="auto" w:fill="FFFFFF"/>
              </w:rPr>
              <w:t xml:space="preserve">. Możliwość zgłaszania awarii w trybie 24x7x365 poprzez stronę internetową i/lub e-mail oraz telefonicznie w dni robocze w godzinach 8-16. </w:t>
            </w:r>
          </w:p>
          <w:p w:rsidR="005C15CB" w:rsidRDefault="005C15CB" w:rsidP="00ED4156">
            <w:pPr>
              <w:suppressAutoHyphens/>
              <w:rPr>
                <w:rFonts w:eastAsia="Calibri" w:hAnsi="Calibri"/>
                <w:shd w:val="clear" w:color="auto" w:fill="FFFFFF"/>
              </w:rPr>
            </w:pPr>
            <w:r>
              <w:rPr>
                <w:rFonts w:eastAsia="Calibri" w:hAnsi="Calibri"/>
                <w:shd w:val="clear" w:color="auto" w:fill="FFFFFF"/>
              </w:rPr>
              <w:t>Nie później niż następnego dnia po przekroczeniu terminu 3 dni roboczych obowiązany jest dostarczyć sprzęt zastępczy o parametrach umożliwiających poprawną pracę z NAS.</w:t>
            </w:r>
          </w:p>
          <w:p w:rsidR="005C15CB" w:rsidRDefault="005C15CB" w:rsidP="00ED4156">
            <w:pPr>
              <w:suppressAutoHyphens/>
            </w:pPr>
            <w:r>
              <w:rPr>
                <w:rFonts w:eastAsia="Calibri" w:hAnsi="Calibri"/>
                <w:shd w:val="clear" w:color="auto" w:fill="FFFFFF"/>
              </w:rPr>
              <w:t>Ogólny czas naprawy wraz z transportem nie może przekroczyć 30 dni. Nie później niż następnego dnia po przekroczenia terminu 30 dni wykonawca obowiązany jest dostarczyć nowy sprzęt w miejsce uszkodzonego</w:t>
            </w: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Dostawa i odbiór sprzętu</w:t>
            </w:r>
          </w:p>
        </w:tc>
        <w:tc>
          <w:tcPr>
            <w:tcW w:w="6146" w:type="dxa"/>
          </w:tcPr>
          <w:p w:rsidR="005C15CB" w:rsidRDefault="005C15CB" w:rsidP="00ED4156">
            <w:pPr>
              <w:suppressAutoHyphens/>
            </w:pPr>
            <w:r>
              <w:t>Wykonawca dostarcza sprzęt do siedziby Zamawiającego w oryginalnie zapakowanych i zaplombowanych opakowaniach w ustalonym z Zamawiającym terminie.</w:t>
            </w:r>
          </w:p>
          <w:p w:rsidR="005C15CB" w:rsidRDefault="005C15CB" w:rsidP="00ED4156">
            <w:pPr>
              <w:suppressAutoHyphens/>
            </w:pPr>
            <w:r>
              <w:t>Urządzenia po dostarczeniu podlegają przeglądowi i ocenie przez Zamawiającego w obecności przedstawiciela Wykonawcy w ustalonym z Zamawiającym terminie.</w:t>
            </w:r>
          </w:p>
          <w:p w:rsidR="005C15CB" w:rsidRDefault="005C15CB" w:rsidP="00ED4156">
            <w:pPr>
              <w:suppressAutoHyphens/>
            </w:pPr>
            <w:r>
              <w:t>Zgodnie z ustalonym z Zamawiającym harmonogramem Wykonawca:</w:t>
            </w:r>
          </w:p>
          <w:p w:rsidR="005C15CB" w:rsidRDefault="005C15CB" w:rsidP="00ED4156">
            <w:pPr>
              <w:suppressAutoHyphens/>
            </w:pPr>
            <w:r>
              <w:t>rozmieszcza i podłącza sprzęt do wskazanych przez zamawiającego źródeł energii oraz punktów dostępowych sieci LAN znajdujących się w siedzibie Zamawiającego.</w:t>
            </w:r>
          </w:p>
          <w:p w:rsidR="005C15CB" w:rsidRDefault="005C15CB" w:rsidP="00ED4156">
            <w:pPr>
              <w:suppressAutoHyphens/>
            </w:pPr>
            <w:r>
              <w:t>dokonuje uruchomienia, instalacji, konfiguracji oraz aktywacji licencji oprogramowania na wskazanym przez Zamawiającego koncie</w:t>
            </w:r>
          </w:p>
          <w:p w:rsidR="005C15CB" w:rsidRDefault="005C15CB" w:rsidP="00ED4156">
            <w:pPr>
              <w:suppressAutoHyphens/>
            </w:pPr>
          </w:p>
        </w:tc>
      </w:tr>
      <w:tr w:rsidR="005C15CB" w:rsidTr="00ED4156">
        <w:tc>
          <w:tcPr>
            <w:tcW w:w="2631" w:type="dxa"/>
          </w:tcPr>
          <w:p w:rsidR="005C15CB" w:rsidRDefault="005C15CB" w:rsidP="00ED4156">
            <w:pPr>
              <w:suppressAutoHyphens/>
            </w:pPr>
            <w:r>
              <w:t>Wymagania inne</w:t>
            </w:r>
          </w:p>
        </w:tc>
        <w:tc>
          <w:tcPr>
            <w:tcW w:w="6146" w:type="dxa"/>
          </w:tcPr>
          <w:p w:rsidR="005C15CB" w:rsidRDefault="005C15CB" w:rsidP="00ED415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Zamawiający wymaga a Wykonawca oświadcza, że oferowane urządzenia sieciowe spełniają poniższe wymogi i standardy:</w:t>
            </w:r>
          </w:p>
          <w:p w:rsidR="005C15CB" w:rsidRDefault="005C15CB" w:rsidP="00ED4156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Są wyprodukowane z zachowaniem normy jakościowej ISO 9001 oraz ISO 14001 lub równoważnych środków zapewnienia jakości;</w:t>
            </w:r>
          </w:p>
          <w:p w:rsidR="005C15CB" w:rsidRDefault="005C15CB" w:rsidP="00ED4156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Posiadają deklarację zgodności CE; </w:t>
            </w:r>
          </w:p>
          <w:p w:rsidR="005C15CB" w:rsidRDefault="005C15CB" w:rsidP="00ED4156">
            <w:pPr>
              <w:pStyle w:val="Akapitzlist"/>
              <w:suppressAutoHyphens w:val="0"/>
              <w:ind w:left="284"/>
              <w:rPr>
                <w:rFonts w:cstheme="minorHAnsi"/>
              </w:rPr>
            </w:pPr>
          </w:p>
          <w:p w:rsidR="005C15CB" w:rsidRDefault="005C15CB" w:rsidP="00ED415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Zamawiający wymaga a Wykonawca oświadcza, że w celu dokonania odbioru końcowego przez Zamawiającego Wykonawca złoży </w:t>
            </w:r>
            <w:r>
              <w:rPr>
                <w:rFonts w:cstheme="minorHAnsi"/>
                <w:b/>
                <w:u w:val="single"/>
              </w:rPr>
              <w:lastRenderedPageBreak/>
              <w:t>następujące dokumenty:</w:t>
            </w:r>
          </w:p>
          <w:p w:rsidR="005C15CB" w:rsidRDefault="005C15CB" w:rsidP="00ED4156">
            <w:pPr>
              <w:pStyle w:val="Akapitzlist"/>
              <w:ind w:left="284"/>
              <w:rPr>
                <w:rFonts w:cstheme="minorHAnsi"/>
              </w:rPr>
            </w:pPr>
          </w:p>
          <w:p w:rsidR="005C15CB" w:rsidRDefault="005C15CB" w:rsidP="00ED4156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Certyfikat ISO 9001:2000 producenta lub równoważny dokument zapewnienia jakości dla oferowanego urządzenia.</w:t>
            </w:r>
          </w:p>
          <w:p w:rsidR="005C15CB" w:rsidRDefault="005C15CB" w:rsidP="00ED4156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Certyfikat ISO 14001 producenta lub równoważny dokument zapewnienia ochrony środowiska.</w:t>
            </w:r>
          </w:p>
          <w:p w:rsidR="005C15CB" w:rsidRDefault="005C15CB" w:rsidP="00ED4156">
            <w:pPr>
              <w:pStyle w:val="NormalnyWeb"/>
              <w:contextualSpacing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5C15CB" w:rsidRDefault="005C15CB" w:rsidP="005C15CB">
      <w:pPr>
        <w:ind w:left="-284" w:right="-567"/>
      </w:pPr>
      <w:bookmarkStart w:id="0" w:name="_GoBack"/>
      <w:bookmarkEnd w:id="0"/>
    </w:p>
    <w:p w:rsidR="000A33B9" w:rsidRDefault="000A33B9" w:rsidP="00EC53B9">
      <w:pPr>
        <w:pStyle w:val="Nagwek1"/>
        <w:numPr>
          <w:ilvl w:val="0"/>
          <w:numId w:val="8"/>
        </w:numPr>
        <w:ind w:left="426"/>
      </w:pPr>
      <w:r>
        <w:t>Szczegółowa specyfikacja sprzętu – NAS.</w:t>
      </w:r>
    </w:p>
    <w:tbl>
      <w:tblPr>
        <w:tblStyle w:val="TableGrid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20"/>
        <w:gridCol w:w="5939"/>
      </w:tblGrid>
      <w:tr w:rsidR="000A33B9" w:rsidTr="000A33B9">
        <w:tc>
          <w:tcPr>
            <w:tcW w:w="8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3B9" w:rsidRDefault="000A33B9">
            <w:pPr>
              <w:keepNext/>
              <w:keepLines/>
              <w:spacing w:before="100" w:beforeAutospacing="1" w:after="100" w:afterAutospacing="1" w:line="254" w:lineRule="auto"/>
              <w:jc w:val="center"/>
              <w:outlineLvl w:val="1"/>
              <w:rPr>
                <w:rFonts w:ascii="Arial" w:eastAsia="等线 Light" w:hAnsi="Arial" w:cs="Arial"/>
                <w:b/>
              </w:rPr>
            </w:pPr>
          </w:p>
          <w:p w:rsidR="000A33B9" w:rsidRDefault="000A33B9">
            <w:pPr>
              <w:keepNext/>
              <w:keepLines/>
              <w:spacing w:before="100" w:beforeAutospacing="1" w:after="100" w:afterAutospacing="1" w:line="254" w:lineRule="auto"/>
              <w:jc w:val="center"/>
              <w:outlineLvl w:val="1"/>
              <w:rPr>
                <w:rFonts w:ascii="Arial" w:eastAsia="等线 Light" w:hAnsi="Arial" w:cs="Arial"/>
                <w:b/>
                <w:lang w:eastAsia="en-US"/>
              </w:rPr>
            </w:pPr>
            <w:r>
              <w:rPr>
                <w:rFonts w:ascii="Arial" w:eastAsia="等线 Light" w:hAnsi="Arial" w:cs="Arial"/>
                <w:b/>
              </w:rPr>
              <w:t>Dostawa SERWERA SIECIOWEGO  typu NAS - wymagania</w:t>
            </w:r>
          </w:p>
          <w:p w:rsidR="000A33B9" w:rsidRDefault="000A33B9">
            <w:pPr>
              <w:keepNext/>
              <w:keepLines/>
              <w:spacing w:before="100" w:beforeAutospacing="1" w:after="100" w:afterAutospacing="1" w:line="254" w:lineRule="auto"/>
              <w:jc w:val="center"/>
              <w:outlineLvl w:val="1"/>
              <w:rPr>
                <w:rFonts w:ascii="Arial" w:eastAsia="等线 Light" w:hAnsi="Arial" w:cs="Arial"/>
                <w:b/>
              </w:rPr>
            </w:pP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PARAMETR</w:t>
            </w:r>
          </w:p>
        </w:tc>
        <w:tc>
          <w:tcPr>
            <w:tcW w:w="5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WYMAGANIA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Sprzęt wyprodukowany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Nie wcześniej niż 12 miesięcy przed datą publikacji ogłoszenia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 xml:space="preserve">Obudowa 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Rack</w:t>
            </w:r>
            <w:proofErr w:type="spellEnd"/>
            <w:r>
              <w:rPr>
                <w:rFonts w:cs="Times New Roman"/>
                <w:bCs/>
              </w:rPr>
              <w:t xml:space="preserve"> 19” 1U, min. 4 zatoki dla dysków 3.5”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Procesor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Procesor</w:t>
            </w:r>
            <w:r w:rsidRPr="00872DBB">
              <w:rPr>
                <w:rFonts w:cs="Times New Roman"/>
              </w:rPr>
              <w:t xml:space="preserve"> min 2 </w:t>
            </w:r>
            <w:r>
              <w:rPr>
                <w:rFonts w:cs="Times New Roman"/>
              </w:rPr>
              <w:t>rdzeniowy 1.</w:t>
            </w:r>
            <w:r w:rsidRPr="00872DBB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GHz lub lepszy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Bios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Producenta sprzętu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RAM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bCs/>
              </w:rPr>
              <w:t>Pamięć zainstalowana – min 2 GB, możliwość rozbudowy do min. 8 GB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Kontroler dysków twardych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Kontroler RAID pozwalający na zbudowanie macierzy RAID 0,1,5,10 szybkość  złącza dysków  6Gb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Pamięć masowa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Zainstalowane 4 dyski przeznaczone do pracy ciągłej, skonfigurowane jako RAID 5 (3 dyski) z dyskiem zapasowym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Komunikacja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Pr="00872DBB" w:rsidRDefault="000A33B9">
            <w:p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bCs/>
              </w:rPr>
              <w:t xml:space="preserve">Min 2 porty sieciowe RJ 45, 100/1000 </w:t>
            </w:r>
            <w:proofErr w:type="spellStart"/>
            <w:r>
              <w:rPr>
                <w:rFonts w:cs="Times New Roman"/>
                <w:bCs/>
              </w:rPr>
              <w:t>Mb</w:t>
            </w:r>
            <w:proofErr w:type="spellEnd"/>
            <w:r>
              <w:rPr>
                <w:rFonts w:cs="Times New Roman"/>
                <w:bCs/>
              </w:rPr>
              <w:t xml:space="preserve">,  rzeczywisty transfer min. </w:t>
            </w:r>
            <w:r w:rsidRPr="00872DBB">
              <w:rPr>
                <w:rFonts w:cs="Times New Roman"/>
                <w:bCs/>
              </w:rPr>
              <w:t>100</w:t>
            </w:r>
            <w:r>
              <w:rPr>
                <w:rFonts w:cs="Times New Roman"/>
                <w:bCs/>
              </w:rPr>
              <w:t xml:space="preserve"> MB/S</w:t>
            </w:r>
            <w:r w:rsidRPr="00872DBB">
              <w:rPr>
                <w:rFonts w:cs="Times New Roman"/>
                <w:bCs/>
              </w:rPr>
              <w:t xml:space="preserve"> na jeden port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HDD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</w:rPr>
              <w:t>Zainstalowane 4 dyski o parametrach: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pojemność Min. </w:t>
            </w:r>
            <w:r>
              <w:rPr>
                <w:rFonts w:cs="Times New Roman"/>
                <w:bCs/>
                <w:lang w:val="en-US"/>
              </w:rPr>
              <w:t>6</w:t>
            </w:r>
            <w:r>
              <w:rPr>
                <w:rFonts w:cs="Times New Roman"/>
                <w:bCs/>
              </w:rPr>
              <w:t xml:space="preserve"> TB, 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cache min 256 MB, 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Interface SATA 6 </w:t>
            </w:r>
            <w:proofErr w:type="spellStart"/>
            <w:r>
              <w:rPr>
                <w:rFonts w:cs="Times New Roman"/>
                <w:bCs/>
              </w:rPr>
              <w:t>Gb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transfer min &gt; 160 MB/s, 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dostosowany do pracy ciągłej, 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color w:val="FF0000"/>
              </w:rPr>
              <w:t xml:space="preserve">MTBF </w:t>
            </w:r>
            <w:r>
              <w:rPr>
                <w:rFonts w:cs="Times New Roman"/>
                <w:bCs/>
              </w:rPr>
              <w:t xml:space="preserve">min 1 000 000 g, </w:t>
            </w:r>
          </w:p>
          <w:p w:rsidR="000A33B9" w:rsidRDefault="000A33B9">
            <w:pPr>
              <w:spacing w:before="100" w:beforeAutospacing="1" w:after="100" w:afterAutospacing="1" w:line="254" w:lineRule="auto"/>
              <w:contextualSpacing/>
              <w:jc w:val="both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Min. okres nie mniejszy niż okres gwarancji na NAS,</w:t>
            </w:r>
          </w:p>
          <w:p w:rsidR="000A33B9" w:rsidRDefault="000A33B9">
            <w:pPr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 przypadku awarii wymagane jest pozostawienie uszkodzonego dysku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Złącza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tabs>
                <w:tab w:val="left" w:pos="273"/>
              </w:tabs>
              <w:spacing w:before="100" w:beforeAutospacing="1" w:after="100" w:afterAutospacing="1" w:line="254" w:lineRule="auto"/>
              <w:contextualSpacing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Min 2 porty USB 3.0 lub nowsze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Zasilacz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Wbudowany</w:t>
            </w:r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lub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zewnętrzny</w:t>
            </w:r>
            <w:proofErr w:type="spellEnd"/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Funkcjonalności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>możliwość integracji z domeną Active Directory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>wbudowany serwer FTP, SFTP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t>współpraca z Microsoft Windows 7, 8, 10 and 11, Microsoft Windows  2012, 2012 R2, 2016, 2019 i 2022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>Możliwość integracji z Active Directory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 xml:space="preserve">obsługa z poziomu przeglądarki internetowej ( MS Edge, Google Chrome, Mozilla </w:t>
            </w:r>
            <w:proofErr w:type="spellStart"/>
            <w:r>
              <w:t>Firefox</w:t>
            </w:r>
            <w:proofErr w:type="spellEnd"/>
            <w:r>
              <w:t xml:space="preserve"> )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>oprogramowania narzędziowego w języku polskim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 xml:space="preserve">obsługa przez przeglądarkę internetową w języku polskimi 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>obsługa funkcji SMART dysków - ostrzeganie o awariach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>powiadamianie o aktualizacji oprogramowania</w:t>
            </w:r>
          </w:p>
          <w:p w:rsidR="000A33B9" w:rsidRDefault="000A33B9" w:rsidP="000A33B9">
            <w:pPr>
              <w:numPr>
                <w:ilvl w:val="0"/>
                <w:numId w:val="6"/>
              </w:numPr>
            </w:pPr>
            <w:r>
              <w:t>wbudowane zabezpieczenie antywirusowe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Oprogramowanie systemowe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Producenta sprzętu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Oprogramowanie narzędziowe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3B9" w:rsidRDefault="000A33B9">
            <w:r>
              <w:rPr>
                <w:rFonts w:cs="Times New Roman"/>
              </w:rPr>
              <w:t xml:space="preserve">Oprogramowanie producenta </w:t>
            </w:r>
            <w:r>
              <w:t>sprzętu umożliwiające co najmniej: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wykrycie serwera w sieci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zdalne włącznie serwera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zdalne wyłącz</w:t>
            </w:r>
            <w:r>
              <w:rPr>
                <w:rFonts w:cs="Times New Roman"/>
                <w:lang w:val="en-US"/>
              </w:rPr>
              <w:t>e</w:t>
            </w:r>
            <w:r>
              <w:rPr>
                <w:rFonts w:cs="Times New Roman"/>
              </w:rPr>
              <w:t>nie serwera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zarządzanie wieloma urządzeniami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zmiana hasła zalogowanego użytkownika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zmiana ustawień kart sieciowych</w:t>
            </w:r>
          </w:p>
          <w:p w:rsidR="000A33B9" w:rsidRDefault="000A33B9" w:rsidP="000A33B9">
            <w:pPr>
              <w:numPr>
                <w:ilvl w:val="0"/>
                <w:numId w:val="6"/>
              </w:num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mapowanie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udostępnionych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zasobów</w:t>
            </w:r>
            <w:proofErr w:type="spellEnd"/>
          </w:p>
          <w:p w:rsidR="000A33B9" w:rsidRDefault="000A33B9">
            <w:pPr>
              <w:rPr>
                <w:rFonts w:cs="Times New Roman"/>
              </w:rPr>
            </w:pPr>
          </w:p>
        </w:tc>
      </w:tr>
      <w:tr w:rsidR="000A33B9" w:rsidTr="000A33B9">
        <w:trPr>
          <w:trHeight w:val="1235"/>
        </w:trPr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Gwarancja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Min. okres </w:t>
            </w:r>
            <w:r w:rsidR="001D7792">
              <w:rPr>
                <w:shd w:val="clear" w:color="auto" w:fill="FFFFFF"/>
              </w:rPr>
              <w:t xml:space="preserve">12 </w:t>
            </w:r>
            <w:r>
              <w:rPr>
                <w:shd w:val="clear" w:color="auto" w:fill="FFFFFF"/>
              </w:rPr>
              <w:t>m-</w:t>
            </w:r>
            <w:proofErr w:type="spellStart"/>
            <w:r>
              <w:rPr>
                <w:shd w:val="clear" w:color="auto" w:fill="FFFFFF"/>
              </w:rPr>
              <w:t>cy</w:t>
            </w:r>
            <w:proofErr w:type="spellEnd"/>
            <w:r>
              <w:rPr>
                <w:shd w:val="clear" w:color="auto" w:fill="FFFFFF"/>
              </w:rPr>
              <w:t xml:space="preserve">  na miejscu lub w opcji </w:t>
            </w:r>
            <w:proofErr w:type="spellStart"/>
            <w:r>
              <w:rPr>
                <w:shd w:val="clear" w:color="auto" w:fill="FFFFFF"/>
              </w:rPr>
              <w:t>door</w:t>
            </w:r>
            <w:proofErr w:type="spellEnd"/>
            <w:r>
              <w:rPr>
                <w:shd w:val="clear" w:color="auto" w:fill="FFFFFF"/>
              </w:rPr>
              <w:t>-to-</w:t>
            </w:r>
            <w:proofErr w:type="spellStart"/>
            <w:r>
              <w:rPr>
                <w:shd w:val="clear" w:color="auto" w:fill="FFFFFF"/>
              </w:rPr>
              <w:t>door</w:t>
            </w:r>
            <w:proofErr w:type="spellEnd"/>
            <w:r>
              <w:rPr>
                <w:shd w:val="clear" w:color="auto" w:fill="FFFFFF"/>
              </w:rPr>
              <w:t>, z czasem reakcji nastę</w:t>
            </w:r>
            <w:r w:rsidRPr="00872DBB">
              <w:rPr>
                <w:shd w:val="clear" w:color="auto" w:fill="FFFFFF"/>
              </w:rPr>
              <w:t>p</w:t>
            </w:r>
            <w:r>
              <w:rPr>
                <w:shd w:val="clear" w:color="auto" w:fill="FFFFFF"/>
              </w:rPr>
              <w:t xml:space="preserve">ny dzień roboczy od przyjęcia zgłoszenia, możliwość zgłaszania awarii w trybie 24x7x365 poprzez stronę internetową i/lub e-mail oraz telefonicznie w dni robocze w godzinach 8-16. </w:t>
            </w:r>
          </w:p>
          <w:p w:rsidR="000A33B9" w:rsidRPr="00872DBB" w:rsidRDefault="000A33B9">
            <w:pPr>
              <w:spacing w:before="100" w:beforeAutospacing="1" w:after="100" w:afterAutospacing="1" w:line="254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Ogólny czas naprawy wraz z transportem nie może przekroczyć 30 dni. Nie później niż następnego dnia po przekroczenia terminu 30 dni wykonawca obowiązany jest dostarczyć nowy sprzęt w miejsce uszkodzonego</w:t>
            </w:r>
            <w:r w:rsidRPr="00872DBB">
              <w:rPr>
                <w:shd w:val="clear" w:color="auto" w:fill="FFFFFF"/>
              </w:rPr>
              <w:t>.</w:t>
            </w:r>
          </w:p>
          <w:p w:rsidR="000A33B9" w:rsidRPr="00872DBB" w:rsidRDefault="000A33B9">
            <w:pPr>
              <w:spacing w:before="100" w:beforeAutospacing="1" w:after="100" w:afterAutospacing="1" w:line="254" w:lineRule="auto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Zachowane dysków twardych w okresie gwarancji serwera</w:t>
            </w: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Dostawa i odbiór sprzętu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Wykonawca dostarcza sprzęt do siedziby Zamawiającego w oryginalnie zapakowanych i zaplombowanych opakowaniach w ustalonym z Zamawiającym terminie.</w:t>
            </w:r>
          </w:p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Urządzenia po dostarczeniu podlegają przeglądowi i ocenie przez Zamawiającego w obecności przedstawiciela Wykonawcy w ustalonym z Zamawiającym terminie.</w:t>
            </w:r>
          </w:p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Zgodnie z ustalonym z Zamawiającym harmonogramem Wykonawca:</w:t>
            </w:r>
          </w:p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rozmieszcza i podłącza sprzęt do wskazanych przez zamawiającego źródeł energii oraz punktów dostępowych sieci LAN znajdujących się w siedzibie Zamawiającego.</w:t>
            </w:r>
          </w:p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dokonuje uruchomienia, instalacji, konfiguracji oraz aktywacji licencji systemu operacyjnego na wskazanym przez Zamawiającego koncie ( o ile wymaga tego system operacyjny).</w:t>
            </w:r>
          </w:p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</w:p>
        </w:tc>
      </w:tr>
      <w:tr w:rsidR="000A33B9" w:rsidTr="000A33B9">
        <w:tc>
          <w:tcPr>
            <w:tcW w:w="2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3B9" w:rsidRDefault="000A33B9">
            <w:pPr>
              <w:spacing w:before="100" w:beforeAutospacing="1" w:after="100" w:afterAutospacing="1"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Wymagania inne</w:t>
            </w:r>
          </w:p>
        </w:tc>
        <w:tc>
          <w:tcPr>
            <w:tcW w:w="593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3B9" w:rsidRDefault="000A33B9">
            <w:pPr>
              <w:rPr>
                <w:rFonts w:cstheme="minorHAnsi"/>
                <w:b/>
                <w:u w:val="single"/>
                <w:lang w:eastAsia="en-US"/>
              </w:rPr>
            </w:pPr>
            <w:r>
              <w:rPr>
                <w:rFonts w:cstheme="minorHAnsi"/>
                <w:b/>
                <w:u w:val="single"/>
              </w:rPr>
              <w:t>Zamawiający wymaga a Wykonawca oświadcza, że oferowane urządzenia sieciowe spełniają poniższe wymogi i standardy:</w:t>
            </w:r>
          </w:p>
          <w:p w:rsidR="000A33B9" w:rsidRDefault="000A33B9" w:rsidP="000A33B9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Są wyprodukowane z zachowaniem normy jakościowej ISO 9001 oraz ISO 14001 lub równoważnych środków zapewnienia jakości;</w:t>
            </w:r>
          </w:p>
          <w:p w:rsidR="000A33B9" w:rsidRDefault="000A33B9" w:rsidP="000A33B9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Posiadają deklarację zgodności CE; </w:t>
            </w:r>
          </w:p>
          <w:p w:rsidR="000A33B9" w:rsidRDefault="000A33B9">
            <w:pPr>
              <w:pStyle w:val="Akapitzlist"/>
              <w:suppressAutoHyphens w:val="0"/>
              <w:ind w:left="284"/>
              <w:rPr>
                <w:rFonts w:cstheme="minorHAnsi"/>
              </w:rPr>
            </w:pPr>
          </w:p>
          <w:p w:rsidR="000A33B9" w:rsidRDefault="000A33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Zamawiający wymaga a Wykonawca oświadcza, że w celu dokonania odbioru końcowego przez Zamawiającego Wykonawca złoży następujące dokumenty:</w:t>
            </w:r>
          </w:p>
          <w:p w:rsidR="000A33B9" w:rsidRDefault="000A33B9">
            <w:pPr>
              <w:pStyle w:val="Akapitzlist"/>
              <w:ind w:left="284"/>
              <w:rPr>
                <w:rFonts w:cstheme="minorHAnsi"/>
              </w:rPr>
            </w:pPr>
          </w:p>
          <w:p w:rsidR="000A33B9" w:rsidRDefault="000A33B9" w:rsidP="000A33B9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Certyfikat ISO 9001:2000 producenta lub równoważny dokument zapewnienia jakości dla oferowanego urządzenia.</w:t>
            </w:r>
          </w:p>
          <w:p w:rsidR="000A33B9" w:rsidRDefault="000A33B9" w:rsidP="000A33B9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cstheme="minorHAnsi"/>
              </w:rPr>
            </w:pPr>
            <w:r>
              <w:rPr>
                <w:rFonts w:cstheme="minorHAnsi"/>
              </w:rPr>
              <w:t>Certyfikat ISO 14001 producenta lub równoważny dokument zapewnienia ochrony środowiska.</w:t>
            </w:r>
          </w:p>
          <w:p w:rsidR="000A33B9" w:rsidRDefault="000A33B9" w:rsidP="000A33B9">
            <w:pPr>
              <w:pStyle w:val="NormalnyWeb1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Oświadczenie podmiotu realizującego serwis lub producenta, że w przypadku wystąpienia awarii dysku twardego w urządzeniu objętym aktywnym wparciem technicznym, uszkodzony dysk twardy pozostaje </w:t>
            </w:r>
            <w:r>
              <w:rPr>
                <w:b/>
                <w:sz w:val="22"/>
                <w:szCs w:val="22"/>
                <w:u w:val="single"/>
              </w:rPr>
              <w:t>u Zamawiającego</w:t>
            </w:r>
            <w:r>
              <w:rPr>
                <w:bCs/>
                <w:sz w:val="22"/>
                <w:szCs w:val="22"/>
              </w:rPr>
              <w:t>.</w:t>
            </w:r>
          </w:p>
          <w:p w:rsidR="000A33B9" w:rsidRDefault="000A33B9">
            <w:pPr>
              <w:spacing w:before="100" w:beforeAutospacing="1" w:after="100" w:afterAutospacing="1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0A33B9" w:rsidRDefault="000A33B9" w:rsidP="000A33B9">
      <w:pPr>
        <w:ind w:left="-284" w:right="-567"/>
      </w:pPr>
    </w:p>
    <w:p w:rsidR="000A33B9" w:rsidRDefault="000A33B9" w:rsidP="000A33B9">
      <w:pPr>
        <w:ind w:left="-284" w:right="-567"/>
      </w:pPr>
    </w:p>
    <w:p w:rsidR="000A33B9" w:rsidRDefault="000A33B9" w:rsidP="000A33B9">
      <w:pPr>
        <w:pStyle w:val="Nagwek1"/>
      </w:pPr>
    </w:p>
    <w:p w:rsidR="000A33B9" w:rsidRDefault="000A33B9" w:rsidP="000A33B9"/>
    <w:p w:rsidR="000A33B9" w:rsidRDefault="000A33B9" w:rsidP="000A33B9"/>
    <w:p w:rsidR="005C15CB" w:rsidRPr="000D2450" w:rsidRDefault="005C15CB" w:rsidP="000D2450"/>
    <w:sectPr w:rsidR="005C15CB" w:rsidRPr="000D2450" w:rsidSect="00AA22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F3" w:rsidRDefault="00F678F3" w:rsidP="000D2450">
      <w:pPr>
        <w:spacing w:after="0" w:line="240" w:lineRule="auto"/>
      </w:pPr>
      <w:r>
        <w:separator/>
      </w:r>
    </w:p>
  </w:endnote>
  <w:endnote w:type="continuationSeparator" w:id="0">
    <w:p w:rsidR="00F678F3" w:rsidRDefault="00F678F3" w:rsidP="000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default"/>
    <w:sig w:usb0="00000000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等线 Light">
    <w:altName w:val="Liberation Mon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66877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C53B9" w:rsidRDefault="00EC53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3B9" w:rsidRDefault="00EC5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F3" w:rsidRDefault="00F678F3" w:rsidP="000D2450">
      <w:pPr>
        <w:spacing w:after="0" w:line="240" w:lineRule="auto"/>
      </w:pPr>
      <w:r>
        <w:separator/>
      </w:r>
    </w:p>
  </w:footnote>
  <w:footnote w:type="continuationSeparator" w:id="0">
    <w:p w:rsidR="00F678F3" w:rsidRDefault="00F678F3" w:rsidP="000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85" w:rsidRDefault="008C4485" w:rsidP="008C4485">
    <w:pPr>
      <w:pStyle w:val="Standardowy14"/>
      <w:ind w:firstLine="0"/>
      <w:jc w:val="both"/>
      <w:rPr>
        <w:sz w:val="22"/>
        <w:szCs w:val="18"/>
      </w:rPr>
    </w:pPr>
    <w:r>
      <w:rPr>
        <w:b/>
        <w:sz w:val="22"/>
        <w:szCs w:val="18"/>
      </w:rPr>
      <w:t>Załącznik nr 2</w:t>
    </w:r>
    <w:r>
      <w:rPr>
        <w:sz w:val="22"/>
        <w:szCs w:val="18"/>
      </w:rPr>
      <w:t xml:space="preserve"> do zaproszenia do złożenia oferty na zadanie pn. „</w:t>
    </w:r>
    <w:r w:rsidR="001A2DE4">
      <w:rPr>
        <w:sz w:val="22"/>
        <w:szCs w:val="18"/>
      </w:rPr>
      <w:t xml:space="preserve">Zakup sprzętu do urzędu gminy </w:t>
    </w:r>
    <w:r w:rsidR="001A2DE4">
      <w:rPr>
        <w:sz w:val="22"/>
        <w:szCs w:val="18"/>
      </w:rPr>
      <w:br/>
      <w:t>w ramach projektu</w:t>
    </w:r>
    <w:r>
      <w:rPr>
        <w:sz w:val="22"/>
        <w:szCs w:val="18"/>
      </w:rPr>
      <w:t xml:space="preserve"> „CYFROWA GMINA”.</w:t>
    </w:r>
  </w:p>
  <w:p w:rsidR="00EC53B9" w:rsidRDefault="00EC5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44ADB7"/>
    <w:multiLevelType w:val="singleLevel"/>
    <w:tmpl w:val="B044ADB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E46C1EC"/>
    <w:multiLevelType w:val="singleLevel"/>
    <w:tmpl w:val="CE46C1EC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E4DE11EA"/>
    <w:multiLevelType w:val="singleLevel"/>
    <w:tmpl w:val="E4DE11EA"/>
    <w:lvl w:ilvl="0">
      <w:start w:val="6"/>
      <w:numFmt w:val="decimal"/>
      <w:suff w:val="space"/>
      <w:lvlText w:val="%1."/>
      <w:lvlJc w:val="left"/>
    </w:lvl>
  </w:abstractNum>
  <w:abstractNum w:abstractNumId="3">
    <w:nsid w:val="19464A28"/>
    <w:multiLevelType w:val="singleLevel"/>
    <w:tmpl w:val="19464A28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3BC81717"/>
    <w:multiLevelType w:val="singleLevel"/>
    <w:tmpl w:val="3BC8171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0014A87"/>
    <w:multiLevelType w:val="hybridMultilevel"/>
    <w:tmpl w:val="0340171C"/>
    <w:lvl w:ilvl="0" w:tplc="5A922D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F1B9"/>
    <w:multiLevelType w:val="singleLevel"/>
    <w:tmpl w:val="7316F1B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50"/>
    <w:rsid w:val="000A33B9"/>
    <w:rsid w:val="000D2450"/>
    <w:rsid w:val="00121A5E"/>
    <w:rsid w:val="001A2DE4"/>
    <w:rsid w:val="001D7792"/>
    <w:rsid w:val="001F4507"/>
    <w:rsid w:val="00394191"/>
    <w:rsid w:val="003E274D"/>
    <w:rsid w:val="00451AC6"/>
    <w:rsid w:val="00483B24"/>
    <w:rsid w:val="005C15CB"/>
    <w:rsid w:val="006A49E9"/>
    <w:rsid w:val="00872DBB"/>
    <w:rsid w:val="008C4485"/>
    <w:rsid w:val="00AA2259"/>
    <w:rsid w:val="00CE1F79"/>
    <w:rsid w:val="00D30D3C"/>
    <w:rsid w:val="00DF77F0"/>
    <w:rsid w:val="00EC53B9"/>
    <w:rsid w:val="00EE398B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50"/>
  </w:style>
  <w:style w:type="paragraph" w:styleId="Stopka">
    <w:name w:val="footer"/>
    <w:basedOn w:val="Normalny"/>
    <w:link w:val="StopkaZnak"/>
    <w:uiPriority w:val="99"/>
    <w:unhideWhenUsed/>
    <w:rsid w:val="000D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50"/>
  </w:style>
  <w:style w:type="character" w:customStyle="1" w:styleId="Nagwek1Znak">
    <w:name w:val="Nagłówek 1 Znak"/>
    <w:basedOn w:val="Domylnaczcionkaakapitu"/>
    <w:link w:val="Nagwek1"/>
    <w:uiPriority w:val="9"/>
    <w:qFormat/>
    <w:rsid w:val="000D2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qFormat/>
    <w:rsid w:val="000D245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0D2450"/>
    <w:pPr>
      <w:spacing w:before="100" w:beforeAutospacing="1" w:after="100" w:afterAutospacing="1" w:line="273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450"/>
    <w:pPr>
      <w:suppressAutoHyphens/>
      <w:spacing w:after="0"/>
      <w:ind w:left="720"/>
      <w:contextualSpacing/>
      <w:jc w:val="both"/>
    </w:pPr>
  </w:style>
  <w:style w:type="paragraph" w:styleId="NormalnyWeb">
    <w:name w:val="Normal (Web)"/>
    <w:uiPriority w:val="99"/>
    <w:semiHidden/>
    <w:unhideWhenUsed/>
    <w:qFormat/>
    <w:rsid w:val="005C15CB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semiHidden/>
    <w:qFormat/>
    <w:rsid w:val="000A33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table" w:customStyle="1" w:styleId="TableGrid1">
    <w:name w:val="Table Grid1"/>
    <w:basedOn w:val="Standardowy"/>
    <w:qFormat/>
    <w:rsid w:val="000A33B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CellMar>
        <w:left w:w="0" w:type="dxa"/>
        <w:right w:w="0" w:type="dxa"/>
      </w:tblCellMar>
    </w:tblPr>
  </w:style>
  <w:style w:type="paragraph" w:customStyle="1" w:styleId="Standardowy14">
    <w:name w:val="Standardowy 14"/>
    <w:basedOn w:val="Normalny"/>
    <w:rsid w:val="008C4485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50"/>
  </w:style>
  <w:style w:type="paragraph" w:styleId="Stopka">
    <w:name w:val="footer"/>
    <w:basedOn w:val="Normalny"/>
    <w:link w:val="StopkaZnak"/>
    <w:uiPriority w:val="99"/>
    <w:unhideWhenUsed/>
    <w:rsid w:val="000D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50"/>
  </w:style>
  <w:style w:type="character" w:customStyle="1" w:styleId="Nagwek1Znak">
    <w:name w:val="Nagłówek 1 Znak"/>
    <w:basedOn w:val="Domylnaczcionkaakapitu"/>
    <w:link w:val="Nagwek1"/>
    <w:uiPriority w:val="9"/>
    <w:qFormat/>
    <w:rsid w:val="000D2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qFormat/>
    <w:rsid w:val="000D245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0D2450"/>
    <w:pPr>
      <w:spacing w:before="100" w:beforeAutospacing="1" w:after="100" w:afterAutospacing="1" w:line="273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450"/>
    <w:pPr>
      <w:suppressAutoHyphens/>
      <w:spacing w:after="0"/>
      <w:ind w:left="720"/>
      <w:contextualSpacing/>
      <w:jc w:val="both"/>
    </w:pPr>
  </w:style>
  <w:style w:type="paragraph" w:styleId="NormalnyWeb">
    <w:name w:val="Normal (Web)"/>
    <w:uiPriority w:val="99"/>
    <w:semiHidden/>
    <w:unhideWhenUsed/>
    <w:qFormat/>
    <w:rsid w:val="005C15CB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semiHidden/>
    <w:qFormat/>
    <w:rsid w:val="000A33B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table" w:customStyle="1" w:styleId="TableGrid1">
    <w:name w:val="Table Grid1"/>
    <w:basedOn w:val="Standardowy"/>
    <w:qFormat/>
    <w:rsid w:val="000A33B9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CellMar>
        <w:left w:w="0" w:type="dxa"/>
        <w:right w:w="0" w:type="dxa"/>
      </w:tblCellMar>
    </w:tblPr>
  </w:style>
  <w:style w:type="paragraph" w:customStyle="1" w:styleId="Standardowy14">
    <w:name w:val="Standardowy 14"/>
    <w:basedOn w:val="Normalny"/>
    <w:rsid w:val="008C4485"/>
    <w:pPr>
      <w:overflowPunct w:val="0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B536-4766-4F63-8D67-C03A418D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2095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Markiewicz</dc:creator>
  <cp:keywords/>
  <dc:description/>
  <cp:lastModifiedBy>KUBA_INWESTYCJE</cp:lastModifiedBy>
  <cp:revision>10</cp:revision>
  <dcterms:created xsi:type="dcterms:W3CDTF">2022-06-13T06:19:00Z</dcterms:created>
  <dcterms:modified xsi:type="dcterms:W3CDTF">2022-09-08T09:03:00Z</dcterms:modified>
</cp:coreProperties>
</file>