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</w:p>
    <w:p w14:paraId="00000002" w14:textId="0DEB1451" w:rsidR="002A3A8B" w:rsidRPr="00593D41" w:rsidRDefault="002021A4">
      <w:pPr>
        <w:pStyle w:val="Tytu"/>
        <w:pBdr>
          <w:bottom w:val="none" w:sz="0" w:space="0" w:color="000000"/>
        </w:pBdr>
        <w:spacing w:after="0"/>
        <w:jc w:val="right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Załącznik nr 3 do Zaproszenia do składania ofert </w:t>
      </w:r>
    </w:p>
    <w:p w14:paraId="00000003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4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5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6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7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8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9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A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B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</w:rPr>
      </w:pPr>
    </w:p>
    <w:p w14:paraId="0000000C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D" w14:textId="77777777" w:rsidR="002A3A8B" w:rsidRPr="00593D41" w:rsidRDefault="00935354">
      <w:pPr>
        <w:pStyle w:val="Tytu"/>
        <w:pBdr>
          <w:bottom w:val="none" w:sz="0" w:space="0" w:color="000000"/>
        </w:pBdr>
        <w:spacing w:after="0"/>
        <w:jc w:val="center"/>
        <w:rPr>
          <w:rFonts w:ascii="Tahoma" w:eastAsia="Tahoma" w:hAnsi="Tahoma" w:cs="Tahoma"/>
          <w:color w:val="000000"/>
          <w:sz w:val="36"/>
          <w:szCs w:val="36"/>
          <w:u w:val="single"/>
        </w:rPr>
      </w:pPr>
      <w:r w:rsidRPr="00593D41">
        <w:rPr>
          <w:rFonts w:ascii="Tahoma" w:eastAsia="Tahoma" w:hAnsi="Tahoma" w:cs="Tahoma"/>
          <w:color w:val="000000"/>
          <w:sz w:val="36"/>
          <w:szCs w:val="36"/>
          <w:u w:val="single"/>
        </w:rPr>
        <w:t xml:space="preserve">OPIS PRZEDMIOTU ZAMÓWIENIA </w:t>
      </w:r>
    </w:p>
    <w:p w14:paraId="0000000E" w14:textId="77777777" w:rsidR="002A3A8B" w:rsidRPr="00593D41" w:rsidRDefault="002A3A8B">
      <w:pPr>
        <w:pStyle w:val="Tytu"/>
        <w:pBdr>
          <w:bottom w:val="none" w:sz="0" w:space="0" w:color="000000"/>
        </w:pBdr>
        <w:spacing w:after="0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0F" w14:textId="77777777" w:rsidR="002A3A8B" w:rsidRPr="00593D41" w:rsidRDefault="002A3A8B">
      <w:pPr>
        <w:pStyle w:val="Tytu"/>
        <w:pBdr>
          <w:bottom w:val="none" w:sz="0" w:space="0" w:color="000000"/>
        </w:pBdr>
        <w:jc w:val="center"/>
        <w:rPr>
          <w:rFonts w:ascii="Tahoma" w:eastAsia="Tahoma" w:hAnsi="Tahoma" w:cs="Tahoma"/>
          <w:color w:val="000000"/>
          <w:sz w:val="20"/>
          <w:szCs w:val="20"/>
          <w:u w:val="single"/>
        </w:rPr>
      </w:pPr>
    </w:p>
    <w:p w14:paraId="000000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1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2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3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4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5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6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7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8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9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01A" w14:textId="77777777" w:rsidR="002A3A8B" w:rsidRPr="00593D41" w:rsidRDefault="002A3A8B">
      <w:pPr>
        <w:jc w:val="center"/>
        <w:rPr>
          <w:rFonts w:ascii="Tahoma" w:eastAsia="Tahoma" w:hAnsi="Tahoma" w:cs="Tahoma"/>
          <w:sz w:val="20"/>
          <w:szCs w:val="20"/>
        </w:rPr>
      </w:pPr>
    </w:p>
    <w:p w14:paraId="0000001B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</w:p>
    <w:p w14:paraId="0000001C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1D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b/>
          <w:color w:val="000000"/>
          <w:sz w:val="20"/>
          <w:szCs w:val="20"/>
          <w:u w:val="single"/>
        </w:rPr>
      </w:pPr>
    </w:p>
    <w:p w14:paraId="0000001E" w14:textId="77777777" w:rsidR="002A3A8B" w:rsidRPr="00593D41" w:rsidRDefault="002A3A8B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1F" w14:textId="77777777" w:rsidR="002A3A8B" w:rsidRPr="00593D41" w:rsidRDefault="0093535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right" w:pos="8656"/>
        </w:tabs>
        <w:spacing w:after="100"/>
        <w:rPr>
          <w:rFonts w:ascii="Tahoma" w:eastAsia="Tahoma" w:hAnsi="Tahoma" w:cs="Tahoma"/>
          <w:b/>
          <w:color w:val="000000"/>
          <w:sz w:val="20"/>
          <w:szCs w:val="20"/>
        </w:rPr>
      </w:pPr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 xml:space="preserve">SPIS TREŚCI </w:t>
      </w:r>
    </w:p>
    <w:sdt>
      <w:sdtPr>
        <w:rPr>
          <w:rFonts w:ascii="Tahoma" w:hAnsi="Tahoma" w:cs="Tahoma"/>
          <w:b w:val="0"/>
          <w:bCs w:val="0"/>
          <w:sz w:val="20"/>
          <w:szCs w:val="20"/>
        </w:rPr>
        <w:id w:val="-1549828281"/>
        <w:docPartObj>
          <w:docPartGallery w:val="Table of Contents"/>
          <w:docPartUnique/>
        </w:docPartObj>
      </w:sdtPr>
      <w:sdtEndPr/>
      <w:sdtContent>
        <w:p w14:paraId="45579CF4" w14:textId="77777777" w:rsidR="003637AB" w:rsidRDefault="00935354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begin"/>
          </w:r>
          <w:r w:rsidRPr="00593D41">
            <w:rPr>
              <w:rFonts w:ascii="Tahoma" w:hAnsi="Tahoma" w:cs="Tahoma"/>
              <w:sz w:val="20"/>
              <w:szCs w:val="20"/>
            </w:rPr>
            <w:instrText xml:space="preserve"> TOC \h \u \z </w:instrText>
          </w:r>
          <w:r w:rsidRPr="00593D41">
            <w:rPr>
              <w:rFonts w:ascii="Tahoma" w:hAnsi="Tahoma" w:cs="Tahoma"/>
              <w:sz w:val="20"/>
              <w:szCs w:val="20"/>
            </w:rPr>
            <w:fldChar w:fldCharType="separate"/>
          </w:r>
          <w:hyperlink w:anchor="_Toc134599236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Wstęp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_Toc134599236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3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4D2D034C" w14:textId="77777777" w:rsidR="003637AB" w:rsidRDefault="007D6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37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Wymagania minimalne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_Toc134599237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52E45F76" w14:textId="77777777" w:rsidR="003637AB" w:rsidRDefault="007D6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38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Sprzęt o parametrach równoważnych lub lepszych.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_Toc134599238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1E2F1E71" w14:textId="77777777" w:rsidR="003637AB" w:rsidRDefault="007D65BD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39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System serwerowy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_Toc134599239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4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10AF9019" w14:textId="77777777" w:rsidR="003637AB" w:rsidRDefault="007D65BD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0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UPS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_Toc134599240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8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3A37C7A7" w14:textId="77777777" w:rsidR="003637AB" w:rsidRDefault="007D65BD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1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Przełącznik typ I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_Toc134599241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9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08F330D5" w14:textId="77777777" w:rsidR="003637AB" w:rsidRDefault="007D65BD">
          <w:pPr>
            <w:pStyle w:val="Spistreci2"/>
            <w:tabs>
              <w:tab w:val="right" w:leader="dot" w:pos="977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34599242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Przełącznik typ II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_Toc134599242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11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74A502B7" w14:textId="77777777" w:rsidR="003637AB" w:rsidRDefault="007D6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134599243" w:history="1">
            <w:r w:rsidR="003637AB" w:rsidRPr="00C925D8">
              <w:rPr>
                <w:rStyle w:val="Hipercze"/>
                <w:rFonts w:ascii="Tahoma" w:eastAsia="Tahoma" w:hAnsi="Tahoma" w:cs="Tahoma"/>
                <w:noProof/>
              </w:rPr>
              <w:t>Wymagania dodatkowe</w:t>
            </w:r>
            <w:r w:rsidR="003637AB">
              <w:rPr>
                <w:noProof/>
                <w:webHidden/>
              </w:rPr>
              <w:tab/>
            </w:r>
            <w:r w:rsidR="003637AB">
              <w:rPr>
                <w:noProof/>
                <w:webHidden/>
              </w:rPr>
              <w:fldChar w:fldCharType="begin"/>
            </w:r>
            <w:r w:rsidR="003637AB">
              <w:rPr>
                <w:noProof/>
                <w:webHidden/>
              </w:rPr>
              <w:instrText xml:space="preserve"> PAGEREF _Toc134599243 \h </w:instrText>
            </w:r>
            <w:r w:rsidR="003637AB">
              <w:rPr>
                <w:noProof/>
                <w:webHidden/>
              </w:rPr>
            </w:r>
            <w:r w:rsidR="003637AB">
              <w:rPr>
                <w:noProof/>
                <w:webHidden/>
              </w:rPr>
              <w:fldChar w:fldCharType="separate"/>
            </w:r>
            <w:r w:rsidR="003637AB">
              <w:rPr>
                <w:noProof/>
                <w:webHidden/>
              </w:rPr>
              <w:t>12</w:t>
            </w:r>
            <w:r w:rsidR="003637AB">
              <w:rPr>
                <w:noProof/>
                <w:webHidden/>
              </w:rPr>
              <w:fldChar w:fldCharType="end"/>
            </w:r>
          </w:hyperlink>
        </w:p>
        <w:p w14:paraId="0000002E" w14:textId="18E536CA" w:rsidR="002A3A8B" w:rsidRPr="00593D41" w:rsidRDefault="00935354">
          <w:pPr>
            <w:rPr>
              <w:rFonts w:ascii="Tahoma" w:eastAsia="Tahoma" w:hAnsi="Tahoma" w:cs="Tahoma"/>
              <w:sz w:val="20"/>
              <w:szCs w:val="20"/>
            </w:rPr>
          </w:pPr>
          <w:r w:rsidRPr="00593D41">
            <w:rPr>
              <w:rFonts w:ascii="Tahoma" w:hAnsi="Tahoma" w:cs="Tahoma"/>
              <w:sz w:val="20"/>
              <w:szCs w:val="20"/>
            </w:rPr>
            <w:fldChar w:fldCharType="end"/>
          </w:r>
        </w:p>
      </w:sdtContent>
    </w:sdt>
    <w:p w14:paraId="0000002F" w14:textId="77777777" w:rsidR="002A3A8B" w:rsidRPr="00593D41" w:rsidRDefault="00935354">
      <w:pPr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0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1" w14:textId="77777777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2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0" w:name="_Toc134599236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Wstęp</w:t>
      </w:r>
      <w:bookmarkEnd w:id="0"/>
    </w:p>
    <w:p w14:paraId="00000033" w14:textId="77777777" w:rsidR="002A3A8B" w:rsidRPr="00593D41" w:rsidRDefault="002A3A8B">
      <w:pPr>
        <w:jc w:val="both"/>
        <w:rPr>
          <w:rFonts w:ascii="Tahoma" w:eastAsia="Tahoma" w:hAnsi="Tahoma" w:cs="Tahoma"/>
          <w:sz w:val="20"/>
          <w:szCs w:val="20"/>
        </w:rPr>
      </w:pPr>
    </w:p>
    <w:p w14:paraId="00000034" w14:textId="73BA2FCC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Niniejszy dokument określa minimalne wymagania dla przedmiotu zamówienia dotyczącego realizacji projektu pn.: „Cyfrow</w:t>
      </w:r>
      <w:r w:rsidR="001C7B2A" w:rsidRPr="00593D41">
        <w:rPr>
          <w:rFonts w:ascii="Tahoma" w:eastAsia="Tahoma" w:hAnsi="Tahoma" w:cs="Tahoma"/>
          <w:sz w:val="20"/>
          <w:szCs w:val="20"/>
        </w:rPr>
        <w:t>y Powiat</w:t>
      </w:r>
      <w:r w:rsidRPr="00593D41">
        <w:rPr>
          <w:rFonts w:ascii="Tahoma" w:eastAsia="Tahoma" w:hAnsi="Tahoma" w:cs="Tahoma"/>
          <w:sz w:val="20"/>
          <w:szCs w:val="20"/>
        </w:rPr>
        <w:t>” realizowan</w:t>
      </w:r>
      <w:r w:rsidR="001C7B2A" w:rsidRPr="00593D41">
        <w:rPr>
          <w:rFonts w:ascii="Tahoma" w:eastAsia="Tahoma" w:hAnsi="Tahoma" w:cs="Tahoma"/>
          <w:sz w:val="20"/>
          <w:szCs w:val="20"/>
        </w:rPr>
        <w:t>y</w:t>
      </w:r>
      <w:r w:rsidRPr="00593D41">
        <w:rPr>
          <w:rFonts w:ascii="Tahoma" w:eastAsia="Tahoma" w:hAnsi="Tahoma" w:cs="Tahoma"/>
          <w:sz w:val="20"/>
          <w:szCs w:val="20"/>
        </w:rPr>
        <w:t xml:space="preserve"> przez </w:t>
      </w:r>
      <w:r w:rsidR="001C7B2A" w:rsidRPr="00593D41">
        <w:rPr>
          <w:rFonts w:ascii="Tahoma" w:eastAsia="Tahoma" w:hAnsi="Tahoma" w:cs="Tahoma"/>
          <w:sz w:val="20"/>
          <w:szCs w:val="20"/>
        </w:rPr>
        <w:t>Powiat Świebodzin.</w:t>
      </w:r>
    </w:p>
    <w:p w14:paraId="00000035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036" w14:textId="78A5C2EA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>Zakup jest finansowany ze środków Europejskiego Funduszu Rozwoju Regionalnego w ramach Programu Operacyjnego Polska Cyfrowa na lata 2014-2020 Osi Priorytetowej V Rozwój cyfrowy JST oraz wzmocnienie cyfrowej odporności na zagrożenia REACT-EU działania 5.1 Rozwój cyfrowy JST oraz wzmocnienie cyfrowej odporności na zagrożenia, dotyczący realizacji projektu grantowego „Cyfrow</w:t>
      </w:r>
      <w:r w:rsidR="001C7B2A" w:rsidRPr="00593D41">
        <w:rPr>
          <w:rFonts w:ascii="Tahoma" w:eastAsia="Tahoma" w:hAnsi="Tahoma" w:cs="Tahoma"/>
          <w:sz w:val="20"/>
          <w:szCs w:val="20"/>
        </w:rPr>
        <w:t xml:space="preserve">y Powiat” </w:t>
      </w:r>
      <w:r w:rsidRPr="00593D41">
        <w:rPr>
          <w:rFonts w:ascii="Tahoma" w:eastAsia="Tahoma" w:hAnsi="Tahoma" w:cs="Tahoma"/>
          <w:sz w:val="20"/>
          <w:szCs w:val="20"/>
        </w:rPr>
        <w:t xml:space="preserve">dla </w:t>
      </w:r>
      <w:r w:rsidR="001C7B2A" w:rsidRPr="00593D41">
        <w:rPr>
          <w:rFonts w:ascii="Tahoma" w:eastAsia="Tahoma" w:hAnsi="Tahoma" w:cs="Tahoma"/>
          <w:sz w:val="20"/>
          <w:szCs w:val="20"/>
        </w:rPr>
        <w:t>Powiatu Świebodzińskiego</w:t>
      </w:r>
      <w:r w:rsidR="002021A4">
        <w:rPr>
          <w:rFonts w:ascii="Tahoma" w:eastAsia="Tahoma" w:hAnsi="Tahoma" w:cs="Tahoma"/>
          <w:sz w:val="20"/>
          <w:szCs w:val="20"/>
        </w:rPr>
        <w:t>.</w:t>
      </w:r>
    </w:p>
    <w:p w14:paraId="00000037" w14:textId="77777777" w:rsidR="002A3A8B" w:rsidRPr="00593D41" w:rsidRDefault="00935354">
      <w:pPr>
        <w:spacing w:after="160" w:line="360" w:lineRule="auto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hAnsi="Tahoma" w:cs="Tahoma"/>
          <w:sz w:val="20"/>
          <w:szCs w:val="20"/>
        </w:rPr>
        <w:br w:type="page"/>
      </w:r>
    </w:p>
    <w:p w14:paraId="00000038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2553B485" w14:textId="77777777" w:rsidR="002021A4" w:rsidRPr="00731490" w:rsidRDefault="00935354" w:rsidP="002021A4">
      <w:pPr>
        <w:pStyle w:val="Nagwek1"/>
        <w:rPr>
          <w:rFonts w:ascii="Arial Narrow" w:hAnsi="Arial Narrow"/>
          <w:sz w:val="28"/>
          <w:szCs w:val="28"/>
        </w:rPr>
      </w:pPr>
      <w:bookmarkStart w:id="1" w:name="_Toc134599237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Wymagania minimalne</w:t>
      </w:r>
      <w:bookmarkEnd w:id="1"/>
      <w:r w:rsidR="002021A4" w:rsidRPr="00731490">
        <w:rPr>
          <w:rFonts w:ascii="Arial Narrow" w:hAnsi="Arial Narrow"/>
          <w:sz w:val="28"/>
          <w:szCs w:val="28"/>
        </w:rPr>
        <w:t xml:space="preserve"> </w:t>
      </w:r>
    </w:p>
    <w:p w14:paraId="3A51C40D" w14:textId="17412364" w:rsidR="002021A4" w:rsidRPr="00731490" w:rsidRDefault="002021A4" w:rsidP="002021A4">
      <w:pPr>
        <w:pStyle w:val="Nagwek1"/>
        <w:rPr>
          <w:rFonts w:ascii="Tahoma" w:eastAsia="Tahoma" w:hAnsi="Tahoma" w:cs="Tahoma"/>
          <w:b/>
          <w:color w:val="000000"/>
          <w:sz w:val="28"/>
          <w:szCs w:val="28"/>
        </w:rPr>
      </w:pPr>
      <w:bookmarkStart w:id="2" w:name="_Toc134599238"/>
      <w:r w:rsidRPr="00731490">
        <w:rPr>
          <w:rFonts w:ascii="Tahoma" w:eastAsia="Tahoma" w:hAnsi="Tahoma" w:cs="Tahoma"/>
          <w:b/>
          <w:color w:val="000000"/>
          <w:sz w:val="28"/>
          <w:szCs w:val="28"/>
        </w:rPr>
        <w:t>Sprzęt o parametrach równoważnych lub lepszych.</w:t>
      </w:r>
      <w:bookmarkEnd w:id="2"/>
    </w:p>
    <w:p w14:paraId="0000003B" w14:textId="05CDFC94" w:rsidR="002A3A8B" w:rsidRPr="00593D41" w:rsidRDefault="002A3A8B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</w:p>
    <w:p w14:paraId="0000003C" w14:textId="77777777" w:rsidR="002A3A8B" w:rsidRPr="00593D41" w:rsidRDefault="002A3A8B">
      <w:pPr>
        <w:spacing w:after="160"/>
        <w:rPr>
          <w:rFonts w:ascii="Tahoma" w:eastAsia="Tahoma" w:hAnsi="Tahoma" w:cs="Tahoma"/>
          <w:sz w:val="20"/>
          <w:szCs w:val="20"/>
        </w:rPr>
      </w:pPr>
    </w:p>
    <w:p w14:paraId="50A8EB4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3" w:name="_Toc134599239"/>
      <w:r>
        <w:rPr>
          <w:rFonts w:ascii="Tahoma" w:eastAsia="Tahoma" w:hAnsi="Tahoma" w:cs="Tahoma"/>
          <w:sz w:val="20"/>
          <w:szCs w:val="20"/>
        </w:rPr>
        <w:t>System serwerowy</w:t>
      </w:r>
      <w:bookmarkEnd w:id="3"/>
    </w:p>
    <w:p w14:paraId="7B581A53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1E6B3A34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F6E02E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30332A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A3650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EC25D2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17C7398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64F7EC4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A84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Obudowa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83A1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Rack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o wysokości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max 2U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z możliwością instalacji do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 xml:space="preserve">8 dysków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</w:rPr>
              <w:t>3.5"</w:t>
            </w:r>
            <w:r w:rsidRPr="00BD1B2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Hot-Plug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wraz z kompletem wysuwanych szyn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umożliwiających montaż w szafie rack i wysuwanie serwera do celów serwisowych 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oraz organizatorem do kabli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. </w:t>
            </w:r>
          </w:p>
          <w:p w14:paraId="6F387BF2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Obudowa z możliwością wyposażenia w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5B1BE2" w14:paraId="228DE8B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1035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Płyta główna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9F16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Płyta główna z możliwością zainstalowania minimum dwóch procesorów Intel 3rd Gen. Płyta główna musi być zaprojektowana przez producenta serwera i oznaczona jego znakiem firmowym.</w:t>
            </w:r>
          </w:p>
        </w:tc>
      </w:tr>
      <w:tr w:rsidR="005B1BE2" w14:paraId="620E420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64DB0" w14:textId="77777777" w:rsidR="005B1BE2" w:rsidRDefault="005B1BE2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Chipset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272B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Dedykowany przez producenta procesora do pracy w serwerach dwuprocesorowych</w:t>
            </w:r>
          </w:p>
        </w:tc>
      </w:tr>
      <w:tr w:rsidR="005B1BE2" w14:paraId="33986D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3911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Procesor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5220F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4" w:name="_Hlk128483587"/>
            <w:r>
              <w:rPr>
                <w:rFonts w:ascii="Tahoma" w:hAnsi="Tahoma" w:cs="Tahoma"/>
                <w:sz w:val="20"/>
                <w:szCs w:val="20"/>
              </w:rPr>
              <w:t xml:space="preserve">Zainstalowany jeden procesor 8-rdzeniowy klasy x86, min. 2.8GHz, dedykowany do pracy z zaoferowanym serwerem umożliwiający osiągnięcie wyniku min. 134 w teście SPECrate2017_int_base, dostępnym na stronie www.spec.org dla konfiguracji dwuprocesorowej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wydruk należy </w:t>
            </w:r>
            <w:sdt>
              <w:sdtPr>
                <w:tag w:val="goog_rdk_0"/>
                <w:id w:val="-1451858314"/>
              </w:sdtPr>
              <w:sdtEndPr/>
              <w:sdtContent/>
            </w:sdt>
            <w:r>
              <w:rPr>
                <w:rFonts w:ascii="Tahoma" w:eastAsia="Tahoma" w:hAnsi="Tahoma" w:cs="Tahoma"/>
                <w:sz w:val="20"/>
                <w:szCs w:val="20"/>
              </w:rPr>
              <w:t>dołączyć do oferty. Dopuszcza się wydruk w języku angielskim.</w:t>
            </w:r>
            <w:bookmarkEnd w:id="4"/>
          </w:p>
        </w:tc>
      </w:tr>
      <w:tr w:rsidR="005B1BE2" w14:paraId="060D0DCE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F98BC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355BD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64GB DDR4 RDIMM 3200MT/s, na płycie głównej powinno znajdować się minimum 16 slotów przeznaczonych do instalacji pamięci. Płyta główna powinna obsługiwać do 1TB pamięci RAM.</w:t>
            </w:r>
          </w:p>
        </w:tc>
      </w:tr>
      <w:tr w:rsidR="005B1BE2" w14:paraId="54ABBFE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738A8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Zabezpieczenia pamięci RAM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54DF1" w14:textId="77777777" w:rsidR="005B1BE2" w:rsidRDefault="005B1BE2">
            <w:pPr>
              <w:rPr>
                <w:rStyle w:val="pointnormal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Advanced ECC, Memory Page Retire, Fault Resilient Memory, Memory Self-Healing lub PPR, Partial Cache Line Sparing</w:t>
            </w:r>
          </w:p>
        </w:tc>
      </w:tr>
      <w:tr w:rsidR="005B1BE2" w14:paraId="4DE45A5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31AC" w14:textId="77777777" w:rsidR="005B1BE2" w:rsidRDefault="005B1BE2">
            <w:pPr>
              <w:jc w:val="center"/>
              <w:rPr>
                <w:b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Gniazda PCI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802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- minimum dwa sloty PCIe z czego przynajmniej jeden generacji 4 </w:t>
            </w:r>
          </w:p>
        </w:tc>
      </w:tr>
      <w:tr w:rsidR="005B1BE2" w14:paraId="26711E1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B7C9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Interfejsy sieciowe/FC/SAS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F9A10" w14:textId="77777777" w:rsidR="00E53641" w:rsidRPr="00E53641" w:rsidRDefault="00E53641" w:rsidP="00E53641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E53641">
              <w:rPr>
                <w:rFonts w:ascii="Tahoma" w:hAnsi="Tahoma" w:cs="Tahoma"/>
                <w:color w:val="FF0000"/>
                <w:sz w:val="20"/>
                <w:szCs w:val="20"/>
              </w:rPr>
              <w:t xml:space="preserve">Wbudowane min. 2 interfejsy sieciowe 1Gb Ethernet w standardzie BaseT oraz min. 2 interfejsy sieciowe 10Gb Ethernet w standardzie SFP+ (porty nie mogą zostać osiągnięte poprzez karty w slotach PCIe). </w:t>
            </w:r>
          </w:p>
          <w:p w14:paraId="5297D91D" w14:textId="72C6042B" w:rsidR="005B1BE2" w:rsidRDefault="00E53641" w:rsidP="00E53641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53641">
              <w:rPr>
                <w:rFonts w:ascii="Tahoma" w:hAnsi="Tahoma" w:cs="Tahoma"/>
                <w:color w:val="FF0000"/>
                <w:sz w:val="20"/>
                <w:szCs w:val="20"/>
              </w:rPr>
              <w:t>Zamawiający zezwala na wykorzystanie kart OCP/LOM nie zajmujących zlotów PCIe).</w:t>
            </w:r>
          </w:p>
        </w:tc>
      </w:tr>
      <w:tr w:rsidR="005B1BE2" w14:paraId="4A0CF3D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BB85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C8C1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Zainstalowane: </w:t>
            </w:r>
          </w:p>
          <w:p w14:paraId="5F984DE9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dysk SSD SATA o pojemności min. </w:t>
            </w:r>
            <w:r w:rsidRPr="00BD1B26">
              <w:rPr>
                <w:rFonts w:ascii="Tahoma" w:hAnsi="Tahoma" w:cs="Tahoma"/>
                <w:b/>
                <w:bCs/>
                <w:sz w:val="20"/>
                <w:szCs w:val="20"/>
                <w:lang w:val="de-DE"/>
              </w:rPr>
              <w:t>960GB</w:t>
            </w:r>
            <w:r w:rsidRPr="00BD1B26">
              <w:rPr>
                <w:rFonts w:ascii="Tahoma" w:hAnsi="Tahoma" w:cs="Tahoma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6Gbps, Hot-Plug</w:t>
            </w:r>
          </w:p>
          <w:p w14:paraId="70F1DCE0" w14:textId="77777777" w:rsidR="005B1BE2" w:rsidRDefault="005B1BE2" w:rsidP="005B1BE2">
            <w:pPr>
              <w:pStyle w:val="Akapitzlist"/>
              <w:numPr>
                <w:ilvl w:val="0"/>
                <w:numId w:val="37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dysk HDD SATA o pojemności min. 4T, 6Gbps, Hot-Plug </w:t>
            </w:r>
          </w:p>
          <w:p w14:paraId="09B37989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instalacji dwóch dysków M.2 SATA o pojemności min. 480GB Hot-Plug z możliwością konfiguracji RAID 1.</w:t>
            </w:r>
          </w:p>
          <w:p w14:paraId="454A2F7F" w14:textId="4D063991" w:rsidR="005B1BE2" w:rsidRPr="00E53641" w:rsidRDefault="005B1BE2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de-DE"/>
              </w:rPr>
              <w:t xml:space="preserve">Możliwość zainstalowania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dedykowanego modułu dla hypervisora wirtualizacyjnego, wyposażony w 2 nośniki typu flash o pojemności min. 64GB, z możliwością konfiguracji zabezpieczenia synchronizacji pomiędzy nośnikami z poziomu BIOS serwera, rozwiązanie nie może powodować zmniejszenia ilości wnęk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na dyski twarde.</w:t>
            </w:r>
            <w:r w:rsidR="00E53641" w:rsidRPr="00E53641">
              <w:rPr>
                <w:rFonts w:eastAsia="Calibri"/>
                <w:lang w:eastAsia="en-US"/>
              </w:rPr>
              <w:t xml:space="preserve"> </w:t>
            </w:r>
            <w:r w:rsidR="00E53641" w:rsidRPr="00E53641">
              <w:rPr>
                <w:rFonts w:ascii="Tahoma" w:hAnsi="Tahoma" w:cs="Tahoma"/>
                <w:color w:val="FF0000"/>
                <w:sz w:val="20"/>
                <w:szCs w:val="20"/>
              </w:rPr>
              <w:t>Jednocześnie Zamawiający zgadza się na możliwość instalacji M.2 SATA/NVMe o pojemności min. 480GB Hot-Plug.</w:t>
            </w:r>
            <w:bookmarkStart w:id="5" w:name="_GoBack"/>
            <w:bookmarkEnd w:id="5"/>
          </w:p>
        </w:tc>
      </w:tr>
      <w:tr w:rsidR="005B1BE2" w14:paraId="5866A19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3CE6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Kontroler RAID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342CE" w14:textId="77777777" w:rsidR="005B1BE2" w:rsidRDefault="005B1BE2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Sprzętowy kontroler dyskowy posiadający min. 8GB nieulotnej pamięci cache, </w:t>
            </w:r>
            <w:r>
              <w:rPr>
                <w:rFonts w:ascii="Tahoma" w:hAnsi="Tahoma" w:cs="Tahoma"/>
                <w:sz w:val="20"/>
                <w:szCs w:val="20"/>
              </w:rPr>
              <w:t xml:space="preserve">umożliwiający konfigurację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poziomów RAID: 0, 1, 5, 6, 10, 50, 60. Wsparcie dla dysków SED.</w:t>
            </w:r>
          </w:p>
        </w:tc>
      </w:tr>
      <w:tr w:rsidR="005B1BE2" w14:paraId="53B9382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2060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System operacyjny/System wirtualizacji/dodatkowe 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D40A3" w14:textId="77777777" w:rsidR="005B1BE2" w:rsidRDefault="005B1BE2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14:paraId="3C6572D3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80 x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licencja Windows Server 2022 User CALs</w:t>
            </w:r>
          </w:p>
          <w:p w14:paraId="1AF2D8AE" w14:textId="77777777" w:rsidR="005B1BE2" w:rsidRPr="00BD1B26" w:rsidRDefault="005B1BE2" w:rsidP="005B1BE2">
            <w:pPr>
              <w:pStyle w:val="Default"/>
              <w:numPr>
                <w:ilvl w:val="0"/>
                <w:numId w:val="38"/>
              </w:numPr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Microsoft SQL Server </w:t>
            </w:r>
            <w:r w:rsidRPr="00BD1B26">
              <w:rPr>
                <w:rFonts w:ascii="Tahoma" w:hAnsi="Tahoma" w:cs="Tahoma"/>
                <w:b/>
                <w:bCs/>
                <w:color w:val="auto"/>
                <w:sz w:val="20"/>
                <w:szCs w:val="20"/>
              </w:rPr>
              <w:t>2022</w:t>
            </w:r>
            <w:r w:rsidRPr="00BD1B26">
              <w:rPr>
                <w:rFonts w:ascii="Tahoma" w:hAnsi="Tahoma" w:cs="Tahoma"/>
                <w:color w:val="auto"/>
                <w:sz w:val="20"/>
                <w:szCs w:val="20"/>
              </w:rPr>
              <w:t xml:space="preserve"> Standard, OEM wraz z:</w:t>
            </w:r>
          </w:p>
          <w:p w14:paraId="716F3E62" w14:textId="41EDA7F6" w:rsidR="005B1BE2" w:rsidRDefault="005D4692" w:rsidP="005D4692">
            <w:pPr>
              <w:pStyle w:val="Default"/>
              <w:ind w:left="720"/>
              <w:rPr>
                <w:rFonts w:ascii="Tahoma" w:hAnsi="Tahoma" w:cs="Tahoma"/>
                <w:sz w:val="20"/>
                <w:szCs w:val="20"/>
              </w:rPr>
            </w:pPr>
            <w:r w:rsidRPr="005D4692">
              <w:rPr>
                <w:rFonts w:ascii="Tahoma" w:hAnsi="Tahoma" w:cs="Tahoma"/>
                <w:sz w:val="20"/>
                <w:szCs w:val="20"/>
              </w:rPr>
              <w:t>Microsoft SQL Server 2022 Standard, OEM wraz z wbudowanymi 5 x USER CALs</w:t>
            </w:r>
          </w:p>
        </w:tc>
      </w:tr>
      <w:tr w:rsidR="005B1BE2" w14:paraId="4401D2B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0DA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Wbudowane porty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773F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Przednie: min. 1x VGA, min. 1x USB 2.0, min. 1x micro-USB dedykowane dla karty zarządzającej,</w:t>
            </w:r>
          </w:p>
          <w:p w14:paraId="6E68C2B0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Tylne: min. 1x VGA, min. 2x USB w tym 1x USB 3.0,</w:t>
            </w:r>
          </w:p>
        </w:tc>
      </w:tr>
      <w:tr w:rsidR="005B1BE2" w14:paraId="51CB9A3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DD58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de-DE"/>
              </w:rPr>
              <w:t>Video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673F6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Zintegrowana karta graficzna umożliwiająca wyświetlenie rozdzielczości min. 1920x1200</w:t>
            </w:r>
          </w:p>
        </w:tc>
      </w:tr>
      <w:tr w:rsidR="005B1BE2" w14:paraId="3CEC467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898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Zasilacze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1789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Redundantne, Hot-Plug min. 800W każdy</w:t>
            </w:r>
          </w:p>
        </w:tc>
      </w:tr>
      <w:tr w:rsidR="005B1BE2" w14:paraId="57EC1219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4EF9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Bezpieczeństwo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A7715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Zatrzask górnej pokrywy oraz blokada na ramce panela zamykana na klucz służąca do ochrony nieautoryzowanego dostępu do dysków twardych. </w:t>
            </w:r>
          </w:p>
          <w:p w14:paraId="1D172531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wyłączenia w BIOS funkcji przycisku zasilania. </w:t>
            </w:r>
          </w:p>
          <w:p w14:paraId="1BFA83FF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BIOS ma możliwość przejścia do bezpiecznego trybu rozruchowego z możliwością zarządzania blokadą zasilania, panelem sterowania oraz zmianą hasła </w:t>
            </w:r>
          </w:p>
          <w:p w14:paraId="74A69424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Wbudowany czujnik otwarcia obudowy współpracujący z BIOS i kartą zarządzającą. </w:t>
            </w:r>
          </w:p>
          <w:p w14:paraId="358E265C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Moduł TPM 2.0 </w:t>
            </w:r>
          </w:p>
          <w:p w14:paraId="296265E0" w14:textId="77777777" w:rsidR="005B1BE2" w:rsidRDefault="005B1BE2" w:rsidP="005B1BE2">
            <w:pPr>
              <w:pStyle w:val="Akapitzlist"/>
              <w:numPr>
                <w:ilvl w:val="0"/>
                <w:numId w:val="39"/>
              </w:numPr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dynamicznego włączania i wyłączania portów USB na obudowie – bez potrzeby restartu serwera</w:t>
            </w:r>
          </w:p>
          <w:p w14:paraId="3EEAFCA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wymazania danych ze znajdujących się dysków wewnątrz serwera – niezależne od zainstalowanego systemu operacyjnego, uruchamiane z poziomu zarządzania serwerem</w:t>
            </w:r>
          </w:p>
        </w:tc>
      </w:tr>
      <w:tr w:rsidR="005B1BE2" w14:paraId="7A7E4A4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F2B17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Diagnostyka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DB50" w14:textId="77777777" w:rsidR="005B1BE2" w:rsidRDefault="005B1BE2">
            <w:pPr>
              <w:pStyle w:val="Nagwekspisutreci"/>
              <w:spacing w:before="0"/>
              <w:textAlignment w:val="baseline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auto"/>
                <w:sz w:val="20"/>
                <w:szCs w:val="20"/>
              </w:rPr>
              <w:t>Serwer wyposażony w panel LCD umieszczony na froncie obudowy, umożliwiający wyświetlenie informacji o stanie procesora, pamięci, dysków, BIOS’u, zasilaniu oraz temperaturze.</w:t>
            </w:r>
          </w:p>
        </w:tc>
      </w:tr>
      <w:tr w:rsidR="005B1BE2" w14:paraId="502C512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3704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Karta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878AA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Niezależna od zainstalowanego na serwerze systemu operacyjnego posiadająca dedykowany port Gigabit Ethernet RJ-45 i umożliwiająca:</w:t>
            </w:r>
          </w:p>
          <w:p w14:paraId="0AA9F62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zdalny dostęp do graficznego interfejsu Web karty zarządzającej;</w:t>
            </w:r>
          </w:p>
          <w:p w14:paraId="35556C0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monitorowanie i informowanie o statusie serwera (m.in. prędkości obrotowej wentylatorów, konfiguracji serwera);</w:t>
            </w:r>
          </w:p>
          <w:p w14:paraId="291DC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szyfrowane połączenie (TLS) oraz autentykacje i autoryzację użytkownika;</w:t>
            </w:r>
          </w:p>
          <w:p w14:paraId="77B18A2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zdalnych wirtualnych napędów;</w:t>
            </w:r>
          </w:p>
          <w:p w14:paraId="710ED4A2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wirtualną konsolę z dostępem do myszy, klawiatury;</w:t>
            </w:r>
          </w:p>
          <w:p w14:paraId="6100477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IPv6;</w:t>
            </w:r>
          </w:p>
          <w:p w14:paraId="62C2300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WSMAN (Web Service for Management); SNMP; IPMI2.0, SSH, Redfish;</w:t>
            </w:r>
          </w:p>
          <w:p w14:paraId="4EB9D5F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monitorowania w czasie rzeczywistym poboru prądu przez serwer;</w:t>
            </w:r>
          </w:p>
          <w:p w14:paraId="4A53030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zdalnego ustawienia limitu poboru prądu przez konkretny serwer;</w:t>
            </w:r>
          </w:p>
          <w:p w14:paraId="6DA8259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Directory;</w:t>
            </w:r>
          </w:p>
          <w:p w14:paraId="66B804D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obsługi przez dwóch administratorów jednocześnie;</w:t>
            </w:r>
          </w:p>
          <w:p w14:paraId="3C9DF82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dynamic DNS;</w:t>
            </w:r>
          </w:p>
          <w:p w14:paraId="1346DB4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wysyłanie do administratora maila z powiadomieniem o awarii lub zmianie konfiguracji sprzętowej.</w:t>
            </w:r>
          </w:p>
          <w:p w14:paraId="2056C8C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ind w:left="7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możliwość bezpośredniego zarządzania poprzez dedykowany port USB na przednim panelu serwera</w:t>
            </w:r>
          </w:p>
          <w:p w14:paraId="3C6029B1" w14:textId="77777777" w:rsidR="005B1BE2" w:rsidRDefault="005B1BE2" w:rsidP="005B1BE2">
            <w:pPr>
              <w:pStyle w:val="Nagwekspisutreci"/>
              <w:numPr>
                <w:ilvl w:val="0"/>
                <w:numId w:val="41"/>
              </w:numPr>
              <w:spacing w:before="0"/>
              <w:textAlignment w:val="baseline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auto"/>
                <w:sz w:val="20"/>
                <w:szCs w:val="20"/>
              </w:rPr>
              <w:t>możliwość zarządzania do 100 serwerów bezpośrednio z konsoli karty zarządzającej pojedynczego serwera</w:t>
            </w:r>
          </w:p>
        </w:tc>
      </w:tr>
      <w:tr w:rsidR="005B1BE2" w14:paraId="3E8E3E3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1330F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Oprogramowanie do zarządzania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098A6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zainstalowania oprogramowania producenta do zarządzania, spełniającego poniższe wymagania: </w:t>
            </w:r>
          </w:p>
          <w:p w14:paraId="396CD5B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serwerów, urządzeń sieciowych oraz pamięci masowych </w:t>
            </w:r>
          </w:p>
          <w:p w14:paraId="1F50D8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integracja z Active Directory </w:t>
            </w:r>
          </w:p>
          <w:p w14:paraId="7B8038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zarządzania dostarczonymi serwerami bez udziału dedykowanego agenta </w:t>
            </w:r>
          </w:p>
          <w:p w14:paraId="00FF217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Wsparcie dla protokołów SNMP, IPMI, Linux SSH, Redfish </w:t>
            </w:r>
          </w:p>
          <w:p w14:paraId="56B409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procesu wykrywania urządzeń w oparciu o harmonogram </w:t>
            </w:r>
          </w:p>
          <w:p w14:paraId="53CF1F9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opis wykrytych systemów oraz ich komponentów </w:t>
            </w:r>
          </w:p>
          <w:p w14:paraId="4BFBB8AD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eksportu raportu do CSV, HTML, XLS, PDF </w:t>
            </w:r>
          </w:p>
          <w:p w14:paraId="12E8900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własnych raportów w oparciu o wszystkie informacje zawarte w inwentarzu. </w:t>
            </w:r>
          </w:p>
          <w:p w14:paraId="7EE930F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Grupowanie urządzeń w oparciu o kryteria użytkownika </w:t>
            </w:r>
          </w:p>
          <w:p w14:paraId="5308027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Tworzenie automatycznie grup urządzeń w oparciu o dowolny element konfiguracji serwera np. Nazwa, lokalizacja, system operacyjny, obsadzenie slotów PCIe, pozostałego czasu gwarancji </w:t>
            </w:r>
          </w:p>
          <w:p w14:paraId="75546D5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uruchamiania narzędzi zarządzających w poszczególnych urządzeniach </w:t>
            </w:r>
          </w:p>
          <w:p w14:paraId="42F4A7EF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Szybki podgląd stanu środowiska </w:t>
            </w:r>
          </w:p>
          <w:p w14:paraId="3EDB4E2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Podsumowanie stanu dla każdego urządzenia </w:t>
            </w:r>
          </w:p>
          <w:p w14:paraId="7E52B95C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Szczegółowy status urządzenia/elementu/komponentu </w:t>
            </w:r>
          </w:p>
          <w:p w14:paraId="469DF44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Generowanie alertów przy zmianie stanu urządzenia. </w:t>
            </w:r>
          </w:p>
          <w:p w14:paraId="34B163B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Filtry raportów umożliwiające podgląd najważniejszych zdarzeń </w:t>
            </w:r>
          </w:p>
          <w:p w14:paraId="144B637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Integracja z service desk producenta dostarczonej platformy sprzętowej </w:t>
            </w:r>
          </w:p>
          <w:p w14:paraId="2B3362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przejęcia zdalnego pulpitu </w:t>
            </w:r>
          </w:p>
          <w:p w14:paraId="6D5BC69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podmontowania wirtualnego napędu </w:t>
            </w:r>
          </w:p>
          <w:p w14:paraId="74DEF56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Kreator umożliwiający dostosowanie akcji dla wybranych alertów </w:t>
            </w:r>
          </w:p>
          <w:p w14:paraId="2879938A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importu plików MIB </w:t>
            </w:r>
          </w:p>
          <w:p w14:paraId="5B1DD93E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Przesyłanie alertów „as-is” do innych konsol firm trzecich </w:t>
            </w:r>
          </w:p>
          <w:p w14:paraId="2323FDA3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definiowania ról administratorów </w:t>
            </w:r>
          </w:p>
          <w:p w14:paraId="36C60F1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zdalnej aktualizacji oprogramowania wewnętrznego serwerów </w:t>
            </w:r>
          </w:p>
          <w:p w14:paraId="673D93A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Aktualizacja oparta o wybranie źródła bibliotek (lokalna, on-line producenta oferowanego rozwiązania) </w:t>
            </w:r>
          </w:p>
          <w:p w14:paraId="40569DF9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instalacji oprogramowania wewnętrznego bez potrzeby instalacji agenta </w:t>
            </w:r>
          </w:p>
          <w:p w14:paraId="55F742A8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automatycznego generowania i zgłaszania incydentów awarii bezpośrednio do centrum serwisowego producenta serwerów </w:t>
            </w:r>
          </w:p>
          <w:p w14:paraId="09C501C6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Moduł raportujący pozwalający na wygenerowanie następujących informacji: nr seryjne sprzętu, konfiguracja poszczególnych urządzeń, wersje oprogramowania wewnętrznego, obsadzenie slotów PCI i gniazd pamięci, informację o maszynach wirtualnych, aktualne informacje o stanie i poziomie gwarancji, adresy IP kart sieciowych, występujących alertów, MAC adresów kart sieciowych, stanie poszczególnych komponentów serwera. </w:t>
            </w:r>
          </w:p>
          <w:p w14:paraId="65E1BB2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Możliwość tworzenia sprzętowej konfiguracji bazowej i na jej podstawie weryfikacji środowiska w celu wykrycia rozbieżności. </w:t>
            </w:r>
          </w:p>
          <w:p w14:paraId="1FD4D5A7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Wdrażanie serwerów, rozwiązań modularnych oraz przełączników sieciowych w oparciu o profile </w:t>
            </w:r>
          </w:p>
          <w:p w14:paraId="43153A64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Możliwość migracji ustawień serwera wraz z wirtualnymi adresami sieciowymi (MAC, WWN, IQN) między urządzeniami. </w:t>
            </w:r>
          </w:p>
          <w:p w14:paraId="206DD630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Tworzenie gotowych paczek informacji umożliwiających zdiagnozowanie awarii urządzenia przez serwis producenta. </w:t>
            </w:r>
          </w:p>
          <w:p w14:paraId="30BEAA55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Zdalne uruchamianie diagnostyki serwera. </w:t>
            </w:r>
          </w:p>
          <w:p w14:paraId="1D994FE1" w14:textId="77777777" w:rsidR="005B1BE2" w:rsidRDefault="005B1BE2" w:rsidP="005B1BE2">
            <w:pPr>
              <w:pStyle w:val="Akapitzlist"/>
              <w:numPr>
                <w:ilvl w:val="0"/>
                <w:numId w:val="40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Dedykowana aplikacja na urządzenia mobilne integrująca się z wyżej opisanymi oprogramowaniem zarządzającym. </w:t>
            </w:r>
          </w:p>
          <w:p w14:paraId="1D9A2BC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Oprogramowanie dostarczane jako wirtualny appliance dla KVM, ESXi i Hyper-V. </w:t>
            </w:r>
          </w:p>
        </w:tc>
      </w:tr>
      <w:tr w:rsidR="005B1BE2" w14:paraId="56C9343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6BF44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47F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być wyprodukowany zgodnie z normą ISO-9001:2015, ISO-50001 oraz ISO-14001</w:t>
            </w:r>
          </w:p>
          <w:p w14:paraId="07676078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Serwer musi posiadać deklaracja CE</w:t>
            </w:r>
          </w:p>
          <w:p w14:paraId="23EC7F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Oferowane produkty muszą zawierać informacje dotyczące ponownego użycia i recyklingu, nie mogą zawierać farb i powłok na dużych plastikowych częściach, których nie da się poddać recyklingowi lub ponownie użyć. Wszystkie produkty zawierające podzespoły elektroniczne oraz niebezpieczne składniki powinny być bezpiecznie i łatwo identyfikowalne oraz usuwalne. Usunięcie materiałów i komponentów powinno odbywać się zgodnie z wymogami Dyrektywy WEEE 2002/96/EC. Produkty muszą składać się z co najmniej w 65% ze składników wielokrotnego użytku/zdatnych do recyklingu. We wszystkich produktach części tworzyw sztucznych większe niż 25-gramowe powinny zawierać nie więcej niż śladowe ilości środków zmniejszających palność sklasyfikowanych w dyrektywie RE 67/548/EEC. Potwierdzeniem spełnienia powyższego wymogu jest wydruk ze strony internetowej </w:t>
            </w:r>
            <w:hyperlink r:id="rId7" w:history="1">
              <w:r>
                <w:rPr>
                  <w:rStyle w:val="Hipercze"/>
                  <w:rFonts w:ascii="Tahoma" w:hAnsi="Tahoma" w:cs="Tahoma"/>
                  <w:sz w:val="20"/>
                  <w:szCs w:val="20"/>
                </w:rPr>
                <w:t>www.epeat.net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potwierdzający spełnienie normy co najmniej Epeat Bronze według normy wprowadzonej w 2019 roku - </w:t>
            </w:r>
            <w:r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Wykonawca złoży dokument potwierdzający spełnianie wymogu.</w:t>
            </w:r>
          </w:p>
          <w:p w14:paraId="42F1F177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Oferowany serwer musi znajdować się na liście Windows Server Catalog i posiadać status „Certified for Windows” dla systemów Microsoft Windows Server 2016, Microsoft Windows Server 2019, Microsoft Windows Server 2022.</w:t>
            </w:r>
          </w:p>
        </w:tc>
      </w:tr>
      <w:tr w:rsidR="005B1BE2" w14:paraId="751141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47DC9" w14:textId="77777777" w:rsidR="005B1BE2" w:rsidRDefault="005B1BE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Dokumentacja użytkownika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A927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Zamawiający wymaga dokumentacji w języku polskim lub angi</w:t>
            </w:r>
            <w:r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>
              <w:rPr>
                <w:rFonts w:ascii="Tahoma" w:hAnsi="Tahoma" w:cs="Tahoma"/>
                <w:sz w:val="20"/>
                <w:szCs w:val="20"/>
              </w:rPr>
              <w:t>lskim.</w:t>
            </w:r>
          </w:p>
          <w:p w14:paraId="3F9292A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Możliwość telefonicznego sprawdzenia konfiguracji sprzętowej serwera oraz warunków gwarancji po podaniu numeru seryjnego bezpośrednio u producenta lub jego przedstawiciela.</w:t>
            </w:r>
          </w:p>
        </w:tc>
      </w:tr>
      <w:tr w:rsidR="005B1BE2" w14:paraId="53ADDCCD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3385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Warunki gwarancji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61FD4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Min. 36 miesięcy gwarancji producenta</w:t>
            </w:r>
          </w:p>
          <w:p w14:paraId="36DFCBE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zgłaszania zdarzeń serwisowych w trybie 24/7/365 następującymi kanałami: telefonicznie, przez Internet oraz z wykorzystaniem aplikacji. </w:t>
            </w:r>
          </w:p>
          <w:p w14:paraId="429E262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rozpoczęcia diagnostyki telefonicznej / internetowej już w momencie dokonania zgłoszenia. Certyfikowany Technik wykonawcy / producenta z właściwym zestawem części do naprawy (potwierdzonym na etapie diagnostyki) ma rozpocząć naprawę w siedzibie zamawiającego najpóźniej w następnym dniu roboczym (NBD) od otrzymania zgłoszenia / zakończenia diagnostyki. Naprawa ma się odbywać w siedzibie zamawiającego, chyba, że zamawiający dla danej naprawy zgodzi się na inną formę.  </w:t>
            </w:r>
          </w:p>
          <w:p w14:paraId="48295EDC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Zamawiający oczekuje bezpośredniego dostępu do wykwalifikowanej kadry inżynierów technicznych a w przypadku konieczności eskalacji zgłoszenia serwisowego wyznaczonego Kierownika Eskalacji po stronie wykonawcy.</w:t>
            </w:r>
          </w:p>
          <w:p w14:paraId="7628F177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wymaga pojedynczego punktu kontaktu dla całego rozwiązania producenta, w tym także sprzedanego oprogramowania. </w:t>
            </w:r>
          </w:p>
          <w:p w14:paraId="1BC4506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Zgłoszenie przyjęte jest potwierdzane przez zespół pomocy technicznej (mail/telefon / aplikacja / portal) przez nadanie unikalnego numeru zgłoszenia pozwalającego na identyfikację zgłoszenia w trakcie realizacji naprawy i po jej zakończeniu.</w:t>
            </w:r>
          </w:p>
          <w:p w14:paraId="554C4D5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Zamawiający oczekuje możliwości samodzielnego kwalifikowania poziomu ważności naprawy. </w:t>
            </w:r>
          </w:p>
          <w:p w14:paraId="6B3ED91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sprawdzenia statusu gwarancji poprzez stronę producenta podając unikatowy numer urządzenia oraz pobieranie uaktualnień mikrokodu oraz sterowników nawet w przypadku wygaśnięcia gwarancji serwera.</w:t>
            </w:r>
          </w:p>
          <w:p w14:paraId="651C32AE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 xml:space="preserve">Zamawiający oczekuje nieodpłatnego udostępnienia narzędzi serwisowych i procesów wsparcia umożliwiających: Wykrywanie usterek sprzętowych z predykcją awarii. </w:t>
            </w:r>
          </w:p>
          <w:p w14:paraId="05D134E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Automatyczną diagnostykę i zdalne otwieranie zgłoszeń serwisowych.</w:t>
            </w:r>
          </w:p>
          <w:p w14:paraId="45E62BEC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6" w:name="_Hlk128483606"/>
            <w:r>
              <w:rPr>
                <w:rFonts w:ascii="Tahoma" w:hAnsi="Tahoma" w:cs="Tahoma"/>
                <w:sz w:val="20"/>
                <w:szCs w:val="20"/>
              </w:rPr>
              <w:t>Zamawiający wymaga od podmiotu realizującego serwis lub producenta sprzętu dołączenia do oferty oświadczenia, że w przypadku wystąpienia awarii dysku twardego w urządzeniu objętym aktywnym wparciem technicznym, uszkodzony dysk twardy pozostaje u Zamawiającego.</w:t>
            </w:r>
            <w:bookmarkEnd w:id="6"/>
          </w:p>
          <w:p w14:paraId="2A2FDF91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Możliwość rozszerzenia gwarancji przez producenta do 7 lat.</w:t>
            </w:r>
          </w:p>
          <w:p w14:paraId="09A0878F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Firma serwisująca musi posiadać ISO 9001:2015 oraz ISO-27001 na świadczenie usług serwisowych oraz posiadać autoryzacje producenta urządzeń </w:t>
            </w:r>
          </w:p>
          <w:p w14:paraId="6E7D302B" w14:textId="77777777" w:rsidR="005B1BE2" w:rsidRDefault="005B1BE2">
            <w:pPr>
              <w:rPr>
                <w:rFonts w:ascii="Tahoma" w:hAnsi="Tahoma" w:cs="Tahoma"/>
                <w:sz w:val="20"/>
                <w:szCs w:val="20"/>
              </w:rPr>
            </w:pPr>
            <w:bookmarkStart w:id="7" w:name="_Hlk128483664"/>
            <w:r>
              <w:rPr>
                <w:rFonts w:ascii="Tahoma" w:hAnsi="Tahoma" w:cs="Tahoma"/>
                <w:sz w:val="20"/>
                <w:szCs w:val="20"/>
              </w:rPr>
              <w:t>Wymagane dołączenie do oferty dokumentów potwierdzających, że serwis urządzeń będzie realizowany bezpośrednio przez Producenta i/lub we współpracy z Autoryzowanym Partnerem Serwisowym Producenta.</w:t>
            </w:r>
            <w:bookmarkEnd w:id="7"/>
          </w:p>
        </w:tc>
      </w:tr>
      <w:tr w:rsidR="005B1BE2" w14:paraId="69FDC7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C95FD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7C14D" w14:textId="77777777" w:rsidR="005D469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W ramach dostawy systemu serwerowego Wykonawca dostarczy szafę rackową o wymiarach minimum 42U o głębokości i szerokości kompatybilnej z dostarczonym sprzętem serwerowym w ramach niniejszego zamówienia.</w:t>
            </w:r>
          </w:p>
          <w:p w14:paraId="2812EBDF" w14:textId="75D3E4DD" w:rsidR="005B1BE2" w:rsidRDefault="005D469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832A5">
              <w:rPr>
                <w:rFonts w:ascii="Tahoma" w:hAnsi="Tahoma" w:cs="Tahoma"/>
                <w:sz w:val="20"/>
                <w:szCs w:val="20"/>
              </w:rPr>
              <w:t>Zamawiający wymaga, aby dokonać montażu oraz podłączenia szafy. Szafa rack ma być postawiona w miejsce istniejącej szafy rack. Infrastruktura LAN ma zostać przełączona do nowej. Zasilanie elektryczne jest doprowadzone. W celu ustalenia dokładnego zakresu prac, wymagana jest wizja lokalna wykonawcy.</w:t>
            </w:r>
            <w:r w:rsidR="005B1BE2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14:paraId="78EF7F22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Dodatkowo w ramach zamówienia Wykonawca zobowiązany jest do wykonania następujących usług: </w:t>
            </w:r>
          </w:p>
          <w:p w14:paraId="16ED333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1) rekonfiguracja serwera:</w:t>
            </w:r>
          </w:p>
          <w:p w14:paraId="24D3769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Wykonawca stworzy plan wdrożenia polegający na wykonaniu schematów wdrażanej infrastruktury uwzględniający położenie Serwera Wirtualizacyjnego w szafie rack zamawiającego. </w:t>
            </w:r>
          </w:p>
          <w:p w14:paraId="5F7A3B80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montażu w/w sprzętu w szafach rack Zamawiającego w sposób zgodny z zaleceniami producenta dostarczanych serwerów. Prowadzenie kabli nie może powodować zaburzeń w cyrkulacji gorącego powietrza wydmuchiwanego z serwerów. </w:t>
            </w:r>
          </w:p>
          <w:p w14:paraId="6F498EDD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Uruchomienie systemu operacyjnego wraz z aktualizacją do najnowszych wersji systemu operacyjnego oraz oprogramowania układowego serwera.</w:t>
            </w:r>
          </w:p>
          <w:p w14:paraId="73FAADA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·         podłączenia Serwera do Przełącznika za pomocą właściwych kabli zapewniający bezawaryjną i ciągłą pracę w przypadku awarii jednej z kart sieciowych serwera</w:t>
            </w:r>
          </w:p>
          <w:p w14:paraId="72E55CD9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testów niezawodności środowiska serwerowego poprzez odłączanie jednej ze ścieżki/wyłączanie urządzenia oraz test redundancji zasilania </w:t>
            </w:r>
          </w:p>
          <w:p w14:paraId="6427E80B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·         instalacji oprogramowania wirtualizacyjnego na dostarczonym sprzęcie.  </w:t>
            </w:r>
          </w:p>
        </w:tc>
      </w:tr>
      <w:tr w:rsidR="005B1BE2" w14:paraId="5C7211F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AEEE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FCA55" w14:textId="77777777" w:rsidR="005B1BE2" w:rsidRDefault="005B1BE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F2830EF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63EA127F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8" w:name="_Toc134599240"/>
      <w:bookmarkStart w:id="9" w:name="_Hlk129080676"/>
      <w:r>
        <w:rPr>
          <w:rFonts w:ascii="Tahoma" w:eastAsia="Tahoma" w:hAnsi="Tahoma" w:cs="Tahoma"/>
          <w:sz w:val="20"/>
          <w:szCs w:val="20"/>
        </w:rPr>
        <w:t>UPS</w:t>
      </w:r>
      <w:bookmarkEnd w:id="8"/>
    </w:p>
    <w:p w14:paraId="25D46B87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63B232BB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2DE8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9346AD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2C645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EACFF9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0DD5F204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15E6BB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12160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39D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pozorna: min. 3000VA</w:t>
            </w:r>
          </w:p>
          <w:p w14:paraId="390AB2E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Moc rzeczywista: min. 3000W</w:t>
            </w:r>
          </w:p>
          <w:p w14:paraId="6A7DCC5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Technologia: on-line (VFI), podwójna konwersja</w:t>
            </w:r>
          </w:p>
          <w:p w14:paraId="7714F494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Sprawność max (dla VFI): ˃ 90 %</w:t>
            </w:r>
          </w:p>
          <w:p w14:paraId="79F7BCD6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Typ obudowy: rack/tower</w:t>
            </w:r>
          </w:p>
          <w:p w14:paraId="30144D50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Ilość wydzielanego ciepła dla nominalnych warunków pracy: &lt; 1200 BTU / h</w:t>
            </w:r>
          </w:p>
        </w:tc>
      </w:tr>
      <w:tr w:rsidR="005B1BE2" w14:paraId="552F264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F060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Praca sieciowa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6FE35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Napięcie wejściowe: 110 ÷ 300 V AC ± 5%</w:t>
            </w:r>
          </w:p>
          <w:p w14:paraId="3DD2EB8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Częstotliwość napięcia wejściowego: 50 / 60 Hz</w:t>
            </w:r>
          </w:p>
          <w:p w14:paraId="5FA378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Zakres napięcia wyjściowego: 208 V AC / 220 V AC / 230 V AC / 240 V AC ± 1 %</w:t>
            </w:r>
          </w:p>
          <w:p w14:paraId="1D46757F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Wartość napięcia wyjściowego ustawiana z panelu LCD: tak</w:t>
            </w:r>
          </w:p>
          <w:p w14:paraId="33165B7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Kształt napięcia wyjściowego: sinusoidalny</w:t>
            </w:r>
          </w:p>
          <w:p w14:paraId="7BC06F6C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Czas przełączania sieć – UPS: 0ms</w:t>
            </w:r>
          </w:p>
          <w:p w14:paraId="207F781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Współczynnik odkształceń prądu wejściowego THDi: &lt; 10%</w:t>
            </w:r>
          </w:p>
        </w:tc>
      </w:tr>
      <w:tr w:rsidR="005B1BE2" w14:paraId="580FEAFB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71C6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lastRenderedPageBreak/>
              <w:t>Praca bateryjna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575B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Napięcie wyjściowe: ~230V</w:t>
            </w:r>
          </w:p>
          <w:p w14:paraId="6C81136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Częstotliwość napięcia wyjściowego: 50Hz/60Hz ± 0,5Hz</w:t>
            </w:r>
          </w:p>
          <w:p w14:paraId="2ED2BCF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Kształt napięcia wyjściowego na pracy bateryjnej: sinusoidalny</w:t>
            </w:r>
          </w:p>
          <w:p w14:paraId="65A880A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przeciwzwarciowe gniazd wyjściowych: Bezpiecznik automatyczny 16 A</w:t>
            </w:r>
          </w:p>
          <w:p w14:paraId="0C5BC17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Zabezpieczenie przeciążeniowe: elektroniczne</w:t>
            </w:r>
          </w:p>
          <w:p w14:paraId="37189F7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Akumulatory wewnętrzne w UPS : minimum 12V 9Ah; szczelne, bezobsługowe</w:t>
            </w:r>
          </w:p>
          <w:p w14:paraId="46AA2711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Czas podtrzymania dla obciążenia 3kW - przy zastosowaniu baterii wewnętrznych lub zewnętrznych modułów bateryjnych :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minimum 15 min</w:t>
            </w:r>
          </w:p>
          <w:p w14:paraId="08A98FA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Czas ładowania baterii wew w UPS /w modułach bateryjnych (nie zależnie od ilości podłączonych modułów) - po 80% wyładowaniu baterii: do 3h</w:t>
            </w:r>
          </w:p>
          <w:p w14:paraId="6BF95A73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UPS / Moduły Bateryjne wyposażone w niezależne ładowanie z sieci: wymagane</w:t>
            </w:r>
          </w:p>
        </w:tc>
      </w:tr>
      <w:tr w:rsidR="005B1BE2" w14:paraId="5A3AE24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68D1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Pozostałe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00A3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Przeciążalność: 110 % ÷ 120 % = 60s, &gt;120 % = 100ms</w:t>
            </w:r>
          </w:p>
          <w:p w14:paraId="54A3DB6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Wejście zasilania: 1 x IEC 320 C20 (16 A)</w:t>
            </w:r>
          </w:p>
          <w:p w14:paraId="2D25FEE0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Ilość i typ gniazd wyjściowych: min 8x IEC 320 C13 (10 A) + 1x IEC 320 C19 (16 A), z czego minimum 4 gniazda sterowalne</w:t>
            </w:r>
          </w:p>
          <w:p w14:paraId="25AFB124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Sygnalizacja: Wyświetlacz LCD</w:t>
            </w:r>
          </w:p>
          <w:p w14:paraId="602B7CC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Test baterii: wymagana możliwość uruchomienia testu baterii przyciskiem na obudowie zasilacza</w:t>
            </w:r>
          </w:p>
          <w:p w14:paraId="7F5EE22A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podłączenia dodatkowych, zewnętrznych modułów bateryjnych: Wymagana możliwość podłączenia do 10 zewnętrznych modułów bateryjnych</w:t>
            </w:r>
          </w:p>
          <w:p w14:paraId="7617597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Możliwość pracy w trybie konwertera częstotliwości: wymagane</w:t>
            </w:r>
          </w:p>
          <w:p w14:paraId="78D0464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Interfejs komunikacyjny: RS232, USB HID</w:t>
            </w:r>
          </w:p>
          <w:p w14:paraId="692605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Przewody: min 1szt USB + 2szt IEC 320 C13-C14 10A + 1szt IEC 320 C19-C20 16A</w:t>
            </w:r>
          </w:p>
          <w:p w14:paraId="72BF904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Wsporniki do montażu w szafie RACK: wymagane</w:t>
            </w:r>
          </w:p>
          <w:p w14:paraId="3A0F9CF6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Remote ON/OFF – możliwość zdalnego załączenia/wyłączenia zasilacza: wymagane</w:t>
            </w:r>
          </w:p>
          <w:p w14:paraId="04054BD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Złącze EPO: wymagane ustawienie NC</w:t>
            </w:r>
          </w:p>
        </w:tc>
      </w:tr>
      <w:tr w:rsidR="005B1BE2" w14:paraId="78BE24D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7849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Gwarancja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6D45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Minimum 24 miesiące na elektronikę i 24 miesiące na akumulatory;</w:t>
            </w:r>
          </w:p>
        </w:tc>
      </w:tr>
      <w:tr w:rsidR="005B1BE2" w14:paraId="2265A9B6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82E4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Serwis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3986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Autoryzowany serwis producenta zlokalizowany w Polsce</w:t>
            </w:r>
          </w:p>
          <w:p w14:paraId="7469AB7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Naprawa w maksymalnie 5 dni roboczych</w:t>
            </w:r>
          </w:p>
          <w:p w14:paraId="14E4A39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Serwis realizowany w systemie door to door</w:t>
            </w:r>
          </w:p>
        </w:tc>
      </w:tr>
      <w:tr w:rsidR="005B1BE2" w14:paraId="67CF81E1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C5F45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F9DBB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Oprogramowanie w języku polskim do zarządzania i monitorowania pracy UPS dla Windows, Linux oraz systemów wirtualizacji VMware, Hyper-V, Citrix XenServer </w:t>
            </w:r>
          </w:p>
          <w:p w14:paraId="1F62C33C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 nadawania unikalnych nazw dla kilku tych samych modeli UPSów</w:t>
            </w:r>
          </w:p>
          <w:p w14:paraId="2AE8A6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Możliwość zarządzania różnymi UPSami tego samego producenta</w:t>
            </w:r>
          </w:p>
          <w:p w14:paraId="3A44431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Wymagane wsparcie producenta (telefoniczne oraz mailowe) w języku polskim odnośnie konfiguracji i rozwiązywania problemów.</w:t>
            </w:r>
          </w:p>
        </w:tc>
      </w:tr>
      <w:tr w:rsidR="005B1BE2" w14:paraId="397D430C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6867B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Certyfikaty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1EC2E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ISO 9001:2015 dla producenta sprzętu obejmujący proces projektowania, produkcji i serwisowania</w:t>
            </w:r>
          </w:p>
          <w:p w14:paraId="70DE9632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 xml:space="preserve">Deklaracja CE producenta sprzętu </w:t>
            </w:r>
          </w:p>
          <w:p w14:paraId="2634F52D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Oświadczenie producenta o spełnieniu minimlanych wymaganych parametrów specyfikacji – dołączyć do oferty</w:t>
            </w:r>
          </w:p>
          <w:p w14:paraId="58AE804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  <w:lang w:val="en-US"/>
              </w:rPr>
              <w:t>Karta katalogowa oferowanego sprzętu</w:t>
            </w:r>
          </w:p>
        </w:tc>
      </w:tr>
      <w:tr w:rsidR="005B1BE2" w14:paraId="6BEA606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EFDD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BB638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1 szt. </w:t>
            </w:r>
          </w:p>
        </w:tc>
      </w:tr>
    </w:tbl>
    <w:p w14:paraId="19804182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85DCACD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0" w:name="_Toc134599241"/>
      <w:bookmarkEnd w:id="9"/>
      <w:r>
        <w:rPr>
          <w:rFonts w:ascii="Tahoma" w:eastAsia="Tahoma" w:hAnsi="Tahoma" w:cs="Tahoma"/>
          <w:sz w:val="20"/>
          <w:szCs w:val="20"/>
        </w:rPr>
        <w:t>Przełącznik typ I</w:t>
      </w:r>
      <w:bookmarkEnd w:id="10"/>
    </w:p>
    <w:p w14:paraId="713A0B9D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0B660B56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DC6A8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54EF13C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D5D01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0F9D01A9" w14:textId="77777777" w:rsidR="005B1BE2" w:rsidRDefault="005B1BE2">
            <w:pPr>
              <w:ind w:left="406" w:hanging="425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15557B40" w14:textId="77777777" w:rsidR="005B1BE2" w:rsidRDefault="005B1BE2">
            <w:pPr>
              <w:ind w:left="406" w:hanging="425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4DA00BE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A7D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D263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Przełącznik sieciowy typ I</w:t>
            </w:r>
          </w:p>
        </w:tc>
      </w:tr>
      <w:tr w:rsidR="005B1BE2" w14:paraId="2672683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B944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lastRenderedPageBreak/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42937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wymiary urządzenia powinny pozwalać na montaż w szafie rack 19", obudowa nie powinna być wyższa niż 1U</w:t>
            </w:r>
          </w:p>
          <w:p w14:paraId="155DEFB6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  <w:bookmarkStart w:id="11" w:name="_Hlk128658528"/>
            <w:r>
              <w:rPr>
                <w:rFonts w:ascii="Tahoma" w:eastAsia="Tahoma" w:hAnsi="Tahoma" w:cs="Tahoma"/>
                <w:sz w:val="20"/>
                <w:szCs w:val="20"/>
              </w:rPr>
              <w:t xml:space="preserve">Zasilanie 230V, maksymalny pobór mocy </w:t>
            </w:r>
            <w:r w:rsidRPr="00BD1B26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27W</w:t>
            </w:r>
            <w:bookmarkEnd w:id="11"/>
          </w:p>
          <w:p w14:paraId="4FC1CC98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zasilacze</w:t>
            </w:r>
          </w:p>
          <w:p w14:paraId="58D2B4E4" w14:textId="77777777" w:rsidR="005B1BE2" w:rsidRDefault="005B1BE2">
            <w:pPr>
              <w:ind w:left="406" w:hanging="4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6F383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4FA92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D7EC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24 porty GE, RJ-45</w:t>
            </w:r>
          </w:p>
          <w:p w14:paraId="2D55FDBA" w14:textId="77777777" w:rsidR="005B1BE2" w:rsidRDefault="005B1BE2">
            <w:pPr>
              <w:ind w:left="406" w:hanging="425"/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</w:t>
            </w:r>
          </w:p>
        </w:tc>
      </w:tr>
      <w:tr w:rsidR="005B1BE2" w14:paraId="1D932D52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8DDE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4B00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45C17AE5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2A947D2F" w14:textId="77777777" w:rsidR="005B1BE2" w:rsidRDefault="005B1BE2">
            <w:pPr>
              <w:ind w:left="406" w:hanging="425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57EBBA8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E73F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8D2A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</w:r>
            <w:bookmarkStart w:id="12" w:name="_Hlk128658487"/>
            <w:r>
              <w:rPr>
                <w:rFonts w:ascii="Tahoma" w:hAnsi="Tahoma" w:cs="Tahoma"/>
                <w:bCs/>
                <w:sz w:val="20"/>
                <w:szCs w:val="20"/>
              </w:rPr>
              <w:t xml:space="preserve">przepustowość urządzenia - min. 120 Gbps,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190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Mpps</w:t>
            </w:r>
            <w:bookmarkEnd w:id="12"/>
          </w:p>
          <w:p w14:paraId="141E48F8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możliwość zapamiętania co najmniej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32000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adresów MAC</w:t>
            </w:r>
          </w:p>
          <w:p w14:paraId="68E21B3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453B3E56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0CD340E9" w14:textId="77777777" w:rsidR="005B1BE2" w:rsidRPr="00BD1B26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512MB</w:t>
            </w:r>
          </w:p>
          <w:p w14:paraId="1F6DF2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</w:tc>
      </w:tr>
      <w:tr w:rsidR="005B1BE2" w14:paraId="31C8C11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FDD22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202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automatycznej negocjacji prędkości i duplexu dla połączeń</w:t>
            </w:r>
          </w:p>
          <w:p w14:paraId="1BE4E72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(Spanning Tree), 802.1w (Rapid Spanning Tree), 802.1s (Multiple Spanning Tree)</w:t>
            </w:r>
          </w:p>
          <w:p w14:paraId="3784E0D1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20, ilość portów w grupie: min. 8</w:t>
            </w:r>
          </w:p>
          <w:p w14:paraId="7FB1925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co najmniej 4000 VLANów, zgodna z 802.1Q</w:t>
            </w:r>
          </w:p>
          <w:p w14:paraId="5A48A47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2FDB644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0EA36804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funkcjonalność DHCP Relay, DHCP Snooping, Dynamic ARP Inspection, IGMP Snooping</w:t>
            </w:r>
          </w:p>
          <w:p w14:paraId="2DDA21F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2455E9A2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sFlow</w:t>
            </w:r>
          </w:p>
          <w:p w14:paraId="0EF0AAB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1D21788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(multi-chassis link aggregation)</w:t>
            </w:r>
          </w:p>
          <w:p w14:paraId="33DD8935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MAC-based), możliwość uwierzytelniania w oparciu o bazę Radius</w:t>
            </w:r>
          </w:p>
          <w:p w14:paraId="54E5970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06E10E5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Wsprarcie dla SNTP oraz LLDP (w trybie odbioru)</w:t>
            </w:r>
          </w:p>
          <w:p w14:paraId="02F0DF8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6DBCEEEC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0426D79D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612A6099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2582017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59F8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69D2B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0B28564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</w:t>
            </w:r>
          </w:p>
        </w:tc>
      </w:tr>
      <w:tr w:rsidR="005B1BE2" w14:paraId="45F6B183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DE8E7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Wymagania dodatkowe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C96C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W ramach dostawy sprzętu Wykonawca zobowiązany jest także do przeprowadzenia wdrożenia dostarczanego przełącznika, które musi objąć zakres minimum:</w:t>
            </w:r>
          </w:p>
          <w:p w14:paraId="6F10EDE3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fizyczny montaż i adresację</w:t>
            </w:r>
          </w:p>
          <w:p w14:paraId="77831400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konfiguracje do 5 wirtualnych sieci (VLAN). </w:t>
            </w:r>
          </w:p>
          <w:p w14:paraId="7AA32B9F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- segmentację sieci z podziałem na sieć do zarządzania oraz sieć Lan</w:t>
            </w:r>
          </w:p>
          <w:p w14:paraId="60CD7B0E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- wykonanie jednej spójnej dokumentacji sieci z wdrażanego urządzenia (urządzeń sieciowych) w ramach całego postępowania.</w:t>
            </w:r>
          </w:p>
        </w:tc>
      </w:tr>
      <w:tr w:rsidR="005B1BE2" w14:paraId="22D7B76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B7DF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EB236" w14:textId="77777777" w:rsidR="005B1BE2" w:rsidRDefault="005B1BE2">
            <w:pPr>
              <w:ind w:left="406" w:hanging="425"/>
              <w:rPr>
                <w:rFonts w:ascii="Tahoma" w:hAnsi="Tahoma" w:cs="Tahoma"/>
                <w:bCs/>
                <w:color w:val="00B050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1 szt. </w:t>
            </w:r>
          </w:p>
        </w:tc>
      </w:tr>
    </w:tbl>
    <w:p w14:paraId="48A3D8F0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50C645F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</w:p>
    <w:p w14:paraId="61768884" w14:textId="77777777" w:rsidR="005B1BE2" w:rsidRDefault="005B1BE2" w:rsidP="005B1BE2">
      <w:pPr>
        <w:pStyle w:val="Nagwek2"/>
        <w:rPr>
          <w:rFonts w:ascii="Tahoma" w:eastAsia="Tahoma" w:hAnsi="Tahoma" w:cs="Tahoma"/>
          <w:sz w:val="20"/>
          <w:szCs w:val="20"/>
        </w:rPr>
      </w:pPr>
      <w:bookmarkStart w:id="13" w:name="_Toc134599242"/>
      <w:r>
        <w:rPr>
          <w:rFonts w:ascii="Tahoma" w:eastAsia="Tahoma" w:hAnsi="Tahoma" w:cs="Tahoma"/>
          <w:sz w:val="20"/>
          <w:szCs w:val="20"/>
        </w:rPr>
        <w:t>Przełącznik typ II</w:t>
      </w:r>
      <w:bookmarkEnd w:id="13"/>
    </w:p>
    <w:p w14:paraId="1B6018DB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5B1BE2" w14:paraId="5DEACC30" w14:textId="77777777" w:rsidTr="005B1BE2">
        <w:trPr>
          <w:trHeight w:val="403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A6486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6354049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Nazwa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FFD53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8D61398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Minimalne wymagania dla sprzętu</w:t>
            </w:r>
          </w:p>
          <w:p w14:paraId="47BAA222" w14:textId="77777777" w:rsidR="005B1BE2" w:rsidRDefault="005B1BE2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5B1BE2" w14:paraId="33AC80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8457A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Typ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0C59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5B1BE2" w14:paraId="63973AE4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CB9B3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CFA5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wymiary urządzenia powinny pozwalać na montaż w szafie rack 19", obudowa nie powinna być wyższa niż 1U</w:t>
            </w:r>
          </w:p>
          <w:p w14:paraId="3F1DC92E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Redundantne zasilanie 230V</w:t>
            </w:r>
          </w:p>
          <w:p w14:paraId="74BBCC3D" w14:textId="77777777" w:rsidR="005B1BE2" w:rsidRDefault="005B1BE2">
            <w:pPr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</w:rPr>
              <w:tab/>
              <w:t>MTBF &gt; 10lat</w:t>
            </w:r>
          </w:p>
        </w:tc>
      </w:tr>
      <w:tr w:rsidR="005B1BE2" w14:paraId="5E907C17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B2B0C" w14:textId="77777777" w:rsidR="005B1BE2" w:rsidRDefault="005B1BE2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Interfejsy sieciowe – 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F4C9F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48 porty GE, RJ-45</w:t>
            </w:r>
          </w:p>
          <w:p w14:paraId="46DB1A65" w14:textId="77777777" w:rsidR="005B1BE2" w:rsidRDefault="005B1BE2">
            <w:pPr>
              <w:jc w:val="both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ab/>
              <w:t>4 porty 10 GE SFP+ (z obsługą wkładek 1GE)</w:t>
            </w:r>
          </w:p>
        </w:tc>
      </w:tr>
      <w:tr w:rsidR="005B1BE2" w14:paraId="52FB76FA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571AB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Zarządzanie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69BDD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dedykowany interfejs do zarządzania GE – RJ-45</w:t>
            </w:r>
          </w:p>
          <w:p w14:paraId="546658F5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 konsoli szeregowej</w:t>
            </w:r>
          </w:p>
          <w:p w14:paraId="756F8984" w14:textId="77777777" w:rsidR="005B1BE2" w:rsidRDefault="005B1BE2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przez konsolę szeregową (SSH) oraz poprzez graficzny interfejs poprzez przeglądarkę</w:t>
            </w:r>
          </w:p>
        </w:tc>
      </w:tr>
      <w:tr w:rsidR="005B1BE2" w14:paraId="67E6435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2F90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D5984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bookmarkStart w:id="14" w:name="_Hlk128658221"/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przepustowość urządzenia - min. 176 Gbps, min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260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Mpps</w:t>
            </w:r>
          </w:p>
          <w:p w14:paraId="515FEB41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możliwość zapamiętania co najmniej 32000 adresów MAC</w:t>
            </w:r>
          </w:p>
          <w:p w14:paraId="67D0EF55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Opóźnienie  - poniżej 1 mikrosekundy</w:t>
            </w:r>
          </w:p>
          <w:p w14:paraId="557A7E19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>Bufor pakietów: min. 2 MB</w:t>
            </w:r>
          </w:p>
          <w:p w14:paraId="57446656" w14:textId="77777777" w:rsidR="005B1BE2" w:rsidRPr="00BD1B26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DRAM: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512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</w:p>
          <w:p w14:paraId="7616E89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BD1B26"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ab/>
              <w:t xml:space="preserve">Pamięć FLASH: min. </w:t>
            </w:r>
            <w:r w:rsidRPr="00BD1B26">
              <w:rPr>
                <w:rFonts w:ascii="Tahoma" w:hAnsi="Tahoma" w:cs="Tahoma"/>
                <w:b/>
                <w:sz w:val="20"/>
                <w:szCs w:val="20"/>
              </w:rPr>
              <w:t>64</w:t>
            </w:r>
            <w:r w:rsidRPr="00BD1B26">
              <w:rPr>
                <w:rFonts w:ascii="Tahoma" w:hAnsi="Tahoma" w:cs="Tahoma"/>
                <w:bCs/>
                <w:sz w:val="20"/>
                <w:szCs w:val="20"/>
              </w:rPr>
              <w:t xml:space="preserve"> MB</w:t>
            </w:r>
            <w:bookmarkEnd w:id="14"/>
          </w:p>
        </w:tc>
      </w:tr>
      <w:tr w:rsidR="005B1BE2" w14:paraId="2DA086B8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27A4A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Wymagane funkcje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A0AE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automatycznej negocjacji prędkości i duplexu dla połączeń</w:t>
            </w:r>
          </w:p>
          <w:p w14:paraId="4D51053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802.1d (Spanning Tree), 802.1w (Rapid Spanning Tree), 802.1s (Multiple Spanning Tree)</w:t>
            </w:r>
          </w:p>
          <w:p w14:paraId="38425C9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agregacji portów zgodna z 802.3ad, ilość grup min. 26, ilość portów w grupie: min. 8</w:t>
            </w:r>
          </w:p>
          <w:p w14:paraId="64E6AA2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co najmniej 4000 VLANów, zgodna z 802.1Q</w:t>
            </w:r>
          </w:p>
          <w:p w14:paraId="001A74D6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statycznego</w:t>
            </w:r>
          </w:p>
          <w:p w14:paraId="1200E0FB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wykonywania routingu dynamicznego (OSPFv2, RIPv2) – jeżeli funkcjonalność wymaga dodatkowej licencji, to nie jest ona wymagana do dostarczenia</w:t>
            </w:r>
          </w:p>
          <w:p w14:paraId="46C3A93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funkcjonalność DHCP Relay, DHCP Snooping, Dynamic ARP Inspection, IGMP Snooping</w:t>
            </w:r>
          </w:p>
          <w:p w14:paraId="5B40903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port-mirroring</w:t>
            </w:r>
          </w:p>
          <w:p w14:paraId="56EA429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sFlow</w:t>
            </w:r>
          </w:p>
          <w:p w14:paraId="740A3B5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obsługa list kontrolnych ACL</w:t>
            </w:r>
          </w:p>
          <w:p w14:paraId="4792EB7E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protokołu wysokiej dostępności MCLAG (multi-chassis link aggregation)</w:t>
            </w:r>
          </w:p>
          <w:p w14:paraId="6A6122DA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kontrola dostępu na poziomie portu  w oparciu o standard 802.1x (port oraz MAC-based), możliwość uwierzytelniania w oparciu o bazę Radius</w:t>
            </w:r>
          </w:p>
          <w:p w14:paraId="2B82FC7C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zarządzanie przy użyciu Telnet/SSH, HTTP/HTTPS</w:t>
            </w:r>
          </w:p>
          <w:p w14:paraId="5B1CDB1D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Wsprarcie dla SNTP oraz LLDP (w trybie odbioru)</w:t>
            </w:r>
          </w:p>
          <w:p w14:paraId="7D0EDEF8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SNMP w wersjach 1 - 3</w:t>
            </w:r>
          </w:p>
          <w:p w14:paraId="3E8CBE77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zarządzania przez interfejs graficzny i tekstowy</w:t>
            </w:r>
          </w:p>
          <w:p w14:paraId="3873A423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możliwość aktualizacji oprogramowania przez TFTP/FTP oraz za pomocą GUI</w:t>
            </w:r>
          </w:p>
          <w:p w14:paraId="476CA27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dla HTTP REST API dla konfiguracji i monitoringu</w:t>
            </w:r>
          </w:p>
        </w:tc>
      </w:tr>
      <w:tr w:rsidR="005B1BE2" w14:paraId="5AEA658F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D072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Gwarancja oraz wsparcie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3F00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Dożywotnia Gwarancja: urządzenia muszą być objęte dożywotnią producenta, gwarantującą wymianę wadliwego sprzętu (okres 5 lat od ogłoszenia zakończenia produkcji).</w:t>
            </w:r>
          </w:p>
          <w:p w14:paraId="5368BDD1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446CB19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•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ab/>
              <w:t>Wsparcie serwisowe: System powinien być objęty serwisem gwarancyjnym producenta przez okres 12 miesięcy, realizowanym na terenie Rzeczpospolitej Polskiej, polegającym na naprawie lub wymianie urządzenia w przypadku jego wadliwości.</w:t>
            </w:r>
          </w:p>
        </w:tc>
      </w:tr>
      <w:tr w:rsidR="005B1BE2" w14:paraId="7F7CC200" w14:textId="77777777" w:rsidTr="005B1BE2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6F2F1" w14:textId="77777777" w:rsidR="005B1BE2" w:rsidRDefault="005B1B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Ilość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2F924" w14:textId="77777777" w:rsidR="005B1BE2" w:rsidRDefault="005B1BE2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 xml:space="preserve">2 szt. </w:t>
            </w:r>
          </w:p>
        </w:tc>
      </w:tr>
    </w:tbl>
    <w:p w14:paraId="702B77BA" w14:textId="77777777" w:rsidR="005B1BE2" w:rsidRDefault="005B1BE2" w:rsidP="005B1BE2">
      <w:pPr>
        <w:rPr>
          <w:rFonts w:ascii="Tahoma" w:eastAsia="Tahoma" w:hAnsi="Tahoma" w:cs="Tahoma"/>
          <w:sz w:val="20"/>
          <w:szCs w:val="20"/>
        </w:rPr>
      </w:pPr>
    </w:p>
    <w:p w14:paraId="28EBCA21" w14:textId="31BF73CE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18CA6E12" w14:textId="77777777" w:rsidR="00E10495" w:rsidRPr="00593D41" w:rsidRDefault="00E10495" w:rsidP="00E10495">
      <w:pPr>
        <w:rPr>
          <w:rFonts w:ascii="Tahoma" w:eastAsia="Tahoma" w:hAnsi="Tahoma" w:cs="Tahoma"/>
          <w:sz w:val="20"/>
          <w:szCs w:val="20"/>
        </w:rPr>
      </w:pPr>
    </w:p>
    <w:p w14:paraId="0000050F" w14:textId="77777777" w:rsidR="002A3A8B" w:rsidRPr="00593D41" w:rsidRDefault="00935354">
      <w:pPr>
        <w:pStyle w:val="Nagwek1"/>
        <w:rPr>
          <w:rFonts w:ascii="Tahoma" w:eastAsia="Tahoma" w:hAnsi="Tahoma" w:cs="Tahoma"/>
          <w:b/>
          <w:color w:val="000000"/>
          <w:sz w:val="20"/>
          <w:szCs w:val="20"/>
        </w:rPr>
      </w:pPr>
      <w:bookmarkStart w:id="15" w:name="_Toc134599243"/>
      <w:r w:rsidRPr="00593D41">
        <w:rPr>
          <w:rFonts w:ascii="Tahoma" w:eastAsia="Tahoma" w:hAnsi="Tahoma" w:cs="Tahoma"/>
          <w:b/>
          <w:color w:val="000000"/>
          <w:sz w:val="20"/>
          <w:szCs w:val="20"/>
        </w:rPr>
        <w:t>Wymagania dodatkowe</w:t>
      </w:r>
      <w:bookmarkEnd w:id="15"/>
    </w:p>
    <w:p w14:paraId="00000510" w14:textId="77777777" w:rsidR="002A3A8B" w:rsidRPr="00593D41" w:rsidRDefault="002A3A8B">
      <w:pPr>
        <w:rPr>
          <w:rFonts w:ascii="Tahoma" w:eastAsia="Tahoma" w:hAnsi="Tahoma" w:cs="Tahoma"/>
          <w:sz w:val="20"/>
          <w:szCs w:val="20"/>
        </w:rPr>
      </w:pPr>
    </w:p>
    <w:p w14:paraId="00000511" w14:textId="77777777" w:rsidR="002A3A8B" w:rsidRPr="00593D41" w:rsidRDefault="007D65BD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tag w:val="goog_rdk_19"/>
          <w:id w:val="2015184430"/>
        </w:sdtPr>
        <w:sdtEndPr/>
        <w:sdtContent/>
      </w:sdt>
      <w:r w:rsidR="00935354" w:rsidRPr="00593D41">
        <w:rPr>
          <w:rFonts w:ascii="Tahoma" w:eastAsia="Tahoma" w:hAnsi="Tahoma" w:cs="Tahoma"/>
          <w:sz w:val="20"/>
          <w:szCs w:val="20"/>
        </w:rPr>
        <w:t xml:space="preserve">W ramach realizacji przedmiotu zamówienia, Wykonawca zobowiązany jest do dostawy przedmiotu zamówienia wraz z jego rozpakowaniem, sprawdzeniem poprawności działania i ustawieniem w wyznaczonym przez Zamawiającego pomieszczeniu na terenie Urzędu.  </w:t>
      </w:r>
    </w:p>
    <w:p w14:paraId="00000512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3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do utylizacji na własny koszt wszelkich niepotrzebnych materiałów zabezpieczających urządzenia podczas transportu, w tym kartony, folie, taśmy klejące etc. </w:t>
      </w:r>
    </w:p>
    <w:p w14:paraId="00000514" w14:textId="77777777" w:rsidR="002A3A8B" w:rsidRPr="00593D41" w:rsidRDefault="002A3A8B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</w:p>
    <w:p w14:paraId="00000515" w14:textId="77777777" w:rsidR="002A3A8B" w:rsidRPr="00593D41" w:rsidRDefault="00935354">
      <w:pPr>
        <w:spacing w:line="360" w:lineRule="auto"/>
        <w:jc w:val="both"/>
        <w:rPr>
          <w:rFonts w:ascii="Tahoma" w:eastAsia="Tahoma" w:hAnsi="Tahoma" w:cs="Tahoma"/>
          <w:sz w:val="20"/>
          <w:szCs w:val="20"/>
        </w:rPr>
      </w:pPr>
      <w:r w:rsidRPr="00593D41">
        <w:rPr>
          <w:rFonts w:ascii="Tahoma" w:eastAsia="Tahoma" w:hAnsi="Tahoma" w:cs="Tahoma"/>
          <w:sz w:val="20"/>
          <w:szCs w:val="20"/>
        </w:rPr>
        <w:t xml:space="preserve">Wykonawca zobowiązany jest do ustalenia terminów dostaw z Zamawiającym, we wskazanym przez niego miejscu, z uwzględnieniem charakteru pracy Urzędu. </w:t>
      </w:r>
    </w:p>
    <w:sectPr w:rsidR="002A3A8B" w:rsidRPr="00593D41">
      <w:headerReference w:type="default" r:id="rId8"/>
      <w:footerReference w:type="default" r:id="rId9"/>
      <w:pgSz w:w="11906" w:h="16838"/>
      <w:pgMar w:top="1276" w:right="991" w:bottom="1418" w:left="1134" w:header="28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D5A7B" w14:textId="77777777" w:rsidR="007D65BD" w:rsidRDefault="007D65BD">
      <w:r>
        <w:separator/>
      </w:r>
    </w:p>
  </w:endnote>
  <w:endnote w:type="continuationSeparator" w:id="0">
    <w:p w14:paraId="15F550B9" w14:textId="77777777" w:rsidR="007D65BD" w:rsidRDefault="007D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variable"/>
    <w:sig w:usb0="00000003" w:usb1="0200E4B4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7" w14:textId="77777777" w:rsidR="002021A4" w:rsidRDefault="002021A4">
    <w:pPr>
      <w:pBdr>
        <w:top w:val="nil"/>
        <w:left w:val="nil"/>
        <w:bottom w:val="nil"/>
        <w:right w:val="nil"/>
        <w:between w:val="nil"/>
      </w:pBdr>
      <w:ind w:left="720"/>
      <w:jc w:val="center"/>
      <w:rPr>
        <w:rFonts w:ascii="Arial Narrow" w:eastAsia="Arial Narrow" w:hAnsi="Arial Narrow" w:cs="Arial Narrow"/>
        <w:color w:val="000000"/>
        <w:sz w:val="16"/>
        <w:szCs w:val="16"/>
      </w:rPr>
    </w:pPr>
  </w:p>
  <w:p w14:paraId="00000518" w14:textId="4C52041E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14:paraId="00000519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14:paraId="0000051A" w14:textId="2CD1EFBF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3641">
      <w:rPr>
        <w:noProof/>
        <w:color w:val="000000"/>
      </w:rPr>
      <w:t>5</w:t>
    </w:r>
    <w:r>
      <w:rPr>
        <w:color w:val="000000"/>
      </w:rPr>
      <w:fldChar w:fldCharType="end"/>
    </w:r>
  </w:p>
  <w:p w14:paraId="0000051B" w14:textId="77777777" w:rsidR="002021A4" w:rsidRDefault="002021A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91DF9" w14:textId="77777777" w:rsidR="007D65BD" w:rsidRDefault="007D65BD">
      <w:r>
        <w:separator/>
      </w:r>
    </w:p>
  </w:footnote>
  <w:footnote w:type="continuationSeparator" w:id="0">
    <w:p w14:paraId="0C8A531A" w14:textId="77777777" w:rsidR="007D65BD" w:rsidRDefault="007D6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516" w14:textId="77777777" w:rsidR="002021A4" w:rsidRDefault="002021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firstLine="284"/>
      <w:jc w:val="center"/>
      <w:rPr>
        <w:color w:val="000000"/>
      </w:rPr>
    </w:pPr>
    <w:r>
      <w:rPr>
        <w:noProof/>
      </w:rPr>
      <w:drawing>
        <wp:inline distT="0" distB="0" distL="0" distR="0" wp14:anchorId="7EBA67C0" wp14:editId="502B21F7">
          <wp:extent cx="6210935" cy="75946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935" cy="759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159"/>
    <w:multiLevelType w:val="multilevel"/>
    <w:tmpl w:val="7C6E29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B30D3E"/>
    <w:multiLevelType w:val="multilevel"/>
    <w:tmpl w:val="5AEC854E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C4BAB"/>
    <w:multiLevelType w:val="multilevel"/>
    <w:tmpl w:val="5C3280EC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5BA664E"/>
    <w:multiLevelType w:val="multilevel"/>
    <w:tmpl w:val="342E3C66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440" w:hanging="6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4C45826"/>
    <w:multiLevelType w:val="multilevel"/>
    <w:tmpl w:val="C428C2C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7977B2"/>
    <w:multiLevelType w:val="multilevel"/>
    <w:tmpl w:val="608C646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85064C"/>
    <w:multiLevelType w:val="hybridMultilevel"/>
    <w:tmpl w:val="9C808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80A3D"/>
    <w:multiLevelType w:val="multilevel"/>
    <w:tmpl w:val="06565E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2C77FE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268A2778"/>
    <w:multiLevelType w:val="multilevel"/>
    <w:tmpl w:val="5196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88D6A01"/>
    <w:multiLevelType w:val="multilevel"/>
    <w:tmpl w:val="FED86C4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4E5C01"/>
    <w:multiLevelType w:val="multilevel"/>
    <w:tmpl w:val="A4304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A24C1"/>
    <w:multiLevelType w:val="hybridMultilevel"/>
    <w:tmpl w:val="5524B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816C8"/>
    <w:multiLevelType w:val="multilevel"/>
    <w:tmpl w:val="6100D050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0D51913"/>
    <w:multiLevelType w:val="hybridMultilevel"/>
    <w:tmpl w:val="3A9E3FE0"/>
    <w:lvl w:ilvl="0" w:tplc="04150001">
      <w:start w:val="1"/>
      <w:numFmt w:val="bullet"/>
      <w:lvlText w:val=""/>
      <w:lvlJc w:val="left"/>
      <w:pPr>
        <w:tabs>
          <w:tab w:val="num" w:pos="649"/>
        </w:tabs>
        <w:ind w:left="64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3F7420"/>
    <w:multiLevelType w:val="multilevel"/>
    <w:tmpl w:val="7E723CC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86B31CF"/>
    <w:multiLevelType w:val="hybridMultilevel"/>
    <w:tmpl w:val="2A765D56"/>
    <w:lvl w:ilvl="0" w:tplc="0826F10C">
      <w:start w:val="1"/>
      <w:numFmt w:val="bullet"/>
      <w:lvlText w:val="-"/>
      <w:lvlJc w:val="left"/>
      <w:pPr>
        <w:ind w:left="291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8" w15:restartNumberingAfterBreak="0">
    <w:nsid w:val="3A564223"/>
    <w:multiLevelType w:val="multilevel"/>
    <w:tmpl w:val="D66475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4E24D58"/>
    <w:multiLevelType w:val="multilevel"/>
    <w:tmpl w:val="D788141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C45CE"/>
    <w:multiLevelType w:val="multilevel"/>
    <w:tmpl w:val="522499F6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C9C52C5"/>
    <w:multiLevelType w:val="multilevel"/>
    <w:tmpl w:val="45FC2224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F44297"/>
    <w:multiLevelType w:val="multilevel"/>
    <w:tmpl w:val="BAD8786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F621CB2"/>
    <w:multiLevelType w:val="multilevel"/>
    <w:tmpl w:val="0C125BF2"/>
    <w:lvl w:ilvl="0">
      <w:start w:val="1"/>
      <w:numFmt w:val="bullet"/>
      <w:lvlText w:val="●"/>
      <w:lvlJc w:val="left"/>
      <w:pPr>
        <w:ind w:left="11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45F075D"/>
    <w:multiLevelType w:val="multilevel"/>
    <w:tmpl w:val="61B267A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3D0469"/>
    <w:multiLevelType w:val="multilevel"/>
    <w:tmpl w:val="D1D202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68E25FA"/>
    <w:multiLevelType w:val="multilevel"/>
    <w:tmpl w:val="289C60EE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04DFB"/>
    <w:multiLevelType w:val="hybridMultilevel"/>
    <w:tmpl w:val="BA40A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94CFC"/>
    <w:multiLevelType w:val="multilevel"/>
    <w:tmpl w:val="5D841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C4E45"/>
    <w:multiLevelType w:val="multilevel"/>
    <w:tmpl w:val="FD3C96D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DF8700E"/>
    <w:multiLevelType w:val="hybridMultilevel"/>
    <w:tmpl w:val="20A47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9"/>
  </w:num>
  <w:num w:numId="6">
    <w:abstractNumId w:val="30"/>
  </w:num>
  <w:num w:numId="7">
    <w:abstractNumId w:val="24"/>
  </w:num>
  <w:num w:numId="8">
    <w:abstractNumId w:val="21"/>
  </w:num>
  <w:num w:numId="9">
    <w:abstractNumId w:val="0"/>
  </w:num>
  <w:num w:numId="10">
    <w:abstractNumId w:val="4"/>
  </w:num>
  <w:num w:numId="11">
    <w:abstractNumId w:val="23"/>
  </w:num>
  <w:num w:numId="12">
    <w:abstractNumId w:val="3"/>
  </w:num>
  <w:num w:numId="13">
    <w:abstractNumId w:val="18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5"/>
  </w:num>
  <w:num w:numId="19">
    <w:abstractNumId w:val="8"/>
  </w:num>
  <w:num w:numId="20">
    <w:abstractNumId w:val="33"/>
  </w:num>
  <w:num w:numId="21">
    <w:abstractNumId w:val="11"/>
  </w:num>
  <w:num w:numId="22">
    <w:abstractNumId w:val="25"/>
  </w:num>
  <w:num w:numId="23">
    <w:abstractNumId w:val="22"/>
  </w:num>
  <w:num w:numId="24">
    <w:abstractNumId w:val="6"/>
  </w:num>
  <w:num w:numId="25">
    <w:abstractNumId w:val="10"/>
  </w:num>
  <w:num w:numId="26">
    <w:abstractNumId w:val="12"/>
  </w:num>
  <w:num w:numId="27">
    <w:abstractNumId w:val="32"/>
  </w:num>
  <w:num w:numId="28">
    <w:abstractNumId w:val="28"/>
  </w:num>
  <w:num w:numId="29">
    <w:abstractNumId w:val="20"/>
  </w:num>
  <w:num w:numId="30">
    <w:abstractNumId w:val="31"/>
  </w:num>
  <w:num w:numId="31">
    <w:abstractNumId w:val="15"/>
  </w:num>
  <w:num w:numId="32">
    <w:abstractNumId w:val="29"/>
  </w:num>
  <w:num w:numId="33">
    <w:abstractNumId w:val="7"/>
  </w:num>
  <w:num w:numId="34">
    <w:abstractNumId w:val="13"/>
  </w:num>
  <w:num w:numId="35">
    <w:abstractNumId w:val="34"/>
  </w:num>
  <w:num w:numId="36">
    <w:abstractNumId w:val="2"/>
  </w:num>
  <w:num w:numId="37">
    <w:abstractNumId w:val="32"/>
  </w:num>
  <w:num w:numId="38">
    <w:abstractNumId w:val="28"/>
  </w:num>
  <w:num w:numId="39">
    <w:abstractNumId w:val="20"/>
  </w:num>
  <w:num w:numId="40">
    <w:abstractNumId w:val="31"/>
  </w:num>
  <w:num w:numId="41">
    <w:abstractNumId w:val="0"/>
  </w:num>
  <w:num w:numId="42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8B"/>
    <w:rsid w:val="00053085"/>
    <w:rsid w:val="00091FA0"/>
    <w:rsid w:val="000E417B"/>
    <w:rsid w:val="000F3052"/>
    <w:rsid w:val="000F61DD"/>
    <w:rsid w:val="00180733"/>
    <w:rsid w:val="001C7B2A"/>
    <w:rsid w:val="002021A4"/>
    <w:rsid w:val="00233F1A"/>
    <w:rsid w:val="002900EE"/>
    <w:rsid w:val="002A3A8B"/>
    <w:rsid w:val="002F4128"/>
    <w:rsid w:val="0033120E"/>
    <w:rsid w:val="00344D9C"/>
    <w:rsid w:val="003637AB"/>
    <w:rsid w:val="003E2AA1"/>
    <w:rsid w:val="004832A5"/>
    <w:rsid w:val="004905FA"/>
    <w:rsid w:val="0050082D"/>
    <w:rsid w:val="00552F6D"/>
    <w:rsid w:val="00566A46"/>
    <w:rsid w:val="00593D41"/>
    <w:rsid w:val="005B1915"/>
    <w:rsid w:val="005B1BE2"/>
    <w:rsid w:val="005C108A"/>
    <w:rsid w:val="005C682A"/>
    <w:rsid w:val="005D4692"/>
    <w:rsid w:val="00621574"/>
    <w:rsid w:val="006C7795"/>
    <w:rsid w:val="00731490"/>
    <w:rsid w:val="007B4E1C"/>
    <w:rsid w:val="007D65BD"/>
    <w:rsid w:val="00935354"/>
    <w:rsid w:val="009B2BD4"/>
    <w:rsid w:val="009D35C8"/>
    <w:rsid w:val="00A717FD"/>
    <w:rsid w:val="00B63F35"/>
    <w:rsid w:val="00BD1B26"/>
    <w:rsid w:val="00BF4285"/>
    <w:rsid w:val="00C2667C"/>
    <w:rsid w:val="00C270FD"/>
    <w:rsid w:val="00C54F0C"/>
    <w:rsid w:val="00D05F1A"/>
    <w:rsid w:val="00D60883"/>
    <w:rsid w:val="00D95A5F"/>
    <w:rsid w:val="00DA2A28"/>
    <w:rsid w:val="00DB3372"/>
    <w:rsid w:val="00E10495"/>
    <w:rsid w:val="00E1375B"/>
    <w:rsid w:val="00E32091"/>
    <w:rsid w:val="00E418C7"/>
    <w:rsid w:val="00E53641"/>
    <w:rsid w:val="00EC499D"/>
    <w:rsid w:val="00EC5FDC"/>
    <w:rsid w:val="00F23451"/>
    <w:rsid w:val="00F7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3C7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4150"/>
  </w:style>
  <w:style w:type="paragraph" w:styleId="Nagwek1">
    <w:name w:val="heading 1"/>
    <w:basedOn w:val="Normalny"/>
    <w:next w:val="Normalny"/>
    <w:link w:val="Nagwek1Znak"/>
    <w:uiPriority w:val="9"/>
    <w:qFormat/>
    <w:rsid w:val="002F0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327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91ABC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F0F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F0F7F"/>
    <w:pPr>
      <w:outlineLvl w:val="9"/>
    </w:p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2F0F7F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unhideWhenUsed/>
    <w:rsid w:val="00494611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right" w:leader="dot" w:pos="8656"/>
      </w:tabs>
      <w:suppressAutoHyphens/>
      <w:spacing w:after="100" w:line="276" w:lineRule="auto"/>
    </w:pPr>
    <w:rPr>
      <w:b/>
      <w:bCs/>
    </w:rPr>
  </w:style>
  <w:style w:type="paragraph" w:styleId="Spistreci2">
    <w:name w:val="toc 2"/>
    <w:basedOn w:val="Normalny"/>
    <w:next w:val="Normalny"/>
    <w:autoRedefine/>
    <w:uiPriority w:val="39"/>
    <w:unhideWhenUsed/>
    <w:rsid w:val="002F0F7F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2F0F7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2F0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0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0F7F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F0F7F"/>
    <w:rPr>
      <w:b/>
      <w:bCs/>
    </w:rPr>
  </w:style>
  <w:style w:type="character" w:customStyle="1" w:styleId="apple-converted-space">
    <w:name w:val="apple-converted-space"/>
    <w:basedOn w:val="Domylnaczcionkaakapitu"/>
    <w:rsid w:val="002F0F7F"/>
  </w:style>
  <w:style w:type="paragraph" w:styleId="Tekstdymka">
    <w:name w:val="Balloon Text"/>
    <w:basedOn w:val="Normalny"/>
    <w:link w:val="TekstdymkaZnak"/>
    <w:uiPriority w:val="99"/>
    <w:semiHidden/>
    <w:unhideWhenUsed/>
    <w:rsid w:val="002F0F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F7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0F7F"/>
  </w:style>
  <w:style w:type="paragraph" w:styleId="Stopka">
    <w:name w:val="footer"/>
    <w:basedOn w:val="Normalny"/>
    <w:link w:val="StopkaZnak"/>
    <w:uiPriority w:val="99"/>
    <w:unhideWhenUsed/>
    <w:rsid w:val="002F0F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F7F"/>
  </w:style>
  <w:style w:type="table" w:styleId="Tabela-Siatka">
    <w:name w:val="Table Grid"/>
    <w:basedOn w:val="Standardowy"/>
    <w:uiPriority w:val="59"/>
    <w:rsid w:val="002F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2F0F7F"/>
    <w:pPr>
      <w:spacing w:line="192" w:lineRule="auto"/>
      <w:ind w:right="-285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F0F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F0F7F"/>
    <w:pPr>
      <w:spacing w:before="100" w:beforeAutospacing="1" w:after="100" w:afterAutospacing="1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0F7F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0F7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0F7F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0F7F"/>
    <w:rPr>
      <w:b/>
      <w:bCs/>
    </w:rPr>
  </w:style>
  <w:style w:type="paragraph" w:styleId="Bezodstpw">
    <w:name w:val="No Spacing"/>
    <w:link w:val="BezodstpwZnak"/>
    <w:uiPriority w:val="1"/>
    <w:qFormat/>
    <w:rsid w:val="002F0F7F"/>
  </w:style>
  <w:style w:type="character" w:customStyle="1" w:styleId="Nagwek2Znak">
    <w:name w:val="Nagłówek 2 Znak"/>
    <w:basedOn w:val="Domylnaczcionkaakapitu"/>
    <w:link w:val="Nagwek2"/>
    <w:uiPriority w:val="9"/>
    <w:rsid w:val="00EB3279"/>
    <w:rPr>
      <w:rFonts w:ascii="Times New Roman" w:eastAsiaTheme="majorEastAsia" w:hAnsi="Times New Roman" w:cstheme="majorBidi"/>
      <w:color w:val="2E74B5" w:themeColor="accent1" w:themeShade="BF"/>
      <w:sz w:val="24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064A22"/>
    <w:rPr>
      <w:color w:val="954F72" w:themeColor="followedHyperlink"/>
      <w:u w:val="single"/>
    </w:rPr>
  </w:style>
  <w:style w:type="paragraph" w:customStyle="1" w:styleId="p1">
    <w:name w:val="p1"/>
    <w:basedOn w:val="Normalny"/>
    <w:rsid w:val="007E5B66"/>
    <w:rPr>
      <w:rFonts w:ascii="Symbol" w:hAnsi="Symbol"/>
      <w:sz w:val="18"/>
      <w:szCs w:val="18"/>
    </w:rPr>
  </w:style>
  <w:style w:type="paragraph" w:customStyle="1" w:styleId="p2">
    <w:name w:val="p2"/>
    <w:basedOn w:val="Normalny"/>
    <w:rsid w:val="007E5B66"/>
    <w:rPr>
      <w:rFonts w:ascii="Arial" w:hAnsi="Arial" w:cs="Arial"/>
      <w:sz w:val="17"/>
      <w:szCs w:val="17"/>
    </w:rPr>
  </w:style>
  <w:style w:type="character" w:customStyle="1" w:styleId="s1">
    <w:name w:val="s1"/>
    <w:basedOn w:val="Domylnaczcionkaakapitu"/>
    <w:rsid w:val="007E5B66"/>
    <w:rPr>
      <w:rFonts w:ascii="Symbol" w:hAnsi="Symbol" w:hint="default"/>
      <w:sz w:val="17"/>
      <w:szCs w:val="17"/>
    </w:rPr>
  </w:style>
  <w:style w:type="character" w:customStyle="1" w:styleId="TytuZnak">
    <w:name w:val="Tytuł Znak"/>
    <w:basedOn w:val="Domylnaczcionkaakapitu"/>
    <w:link w:val="Tytu"/>
    <w:uiPriority w:val="10"/>
    <w:rsid w:val="00F91AB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customStyle="1" w:styleId="Default">
    <w:name w:val="Default"/>
    <w:rsid w:val="004279F9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character" w:customStyle="1" w:styleId="BezodstpwZnak">
    <w:name w:val="Bez odstępów Znak"/>
    <w:link w:val="Bezodstpw"/>
    <w:uiPriority w:val="99"/>
    <w:locked/>
    <w:rsid w:val="004279F9"/>
  </w:style>
  <w:style w:type="paragraph" w:customStyle="1" w:styleId="Tre">
    <w:name w:val="Treść"/>
    <w:rsid w:val="00785C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  <w:style w:type="paragraph" w:styleId="Tekstpodstawowy2">
    <w:name w:val="Body Text 2"/>
    <w:basedOn w:val="Normalny"/>
    <w:link w:val="Tekstpodstawowy2Znak"/>
    <w:rsid w:val="004A2B79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4A2B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Brak">
    <w:name w:val="Brak"/>
    <w:rsid w:val="00E63ED4"/>
  </w:style>
  <w:style w:type="character" w:customStyle="1" w:styleId="Hyperlink0">
    <w:name w:val="Hyperlink.0"/>
    <w:basedOn w:val="Brak"/>
    <w:rsid w:val="00E63ED4"/>
    <w:rPr>
      <w:outline w:val="0"/>
      <w:color w:val="0000FF"/>
      <w:u w:val="single" w:color="0000FF"/>
    </w:rPr>
  </w:style>
  <w:style w:type="paragraph" w:customStyle="1" w:styleId="Domylne">
    <w:name w:val="Domyślne"/>
    <w:rsid w:val="00E63ED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BE8"/>
    <w:rPr>
      <w:vertAlign w:val="superscript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A87C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3A09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pointnormal">
    <w:name w:val="point_normal"/>
    <w:basedOn w:val="Domylnaczcionkaakapitu"/>
    <w:rsid w:val="00C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ea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3550</Words>
  <Characters>21306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2023-05-18T12:35:00Z</dcterms:created>
  <dcterms:modified xsi:type="dcterms:W3CDTF">2023-05-18T12:35:00Z</dcterms:modified>
</cp:coreProperties>
</file>