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812902">
      <w:pPr>
        <w:pStyle w:val="39"/>
        <w:jc w:val="center"/>
        <w:rPr>
          <w:rFonts w:ascii="Calibri" w:hAnsi="Calibri"/>
        </w:rPr>
      </w:pPr>
      <w:r>
        <w:t>WYMAGANIA EDUKACYJNE</w:t>
      </w:r>
      <w:r>
        <w:br w:type="textWrapping"/>
      </w:r>
      <w:r>
        <w:t>I ZASADY OCENIANIA</w:t>
      </w:r>
    </w:p>
    <w:p w14:paraId="7E812903">
      <w:pPr>
        <w:pStyle w:val="37"/>
        <w:jc w:val="center"/>
        <w:rPr>
          <w:rFonts w:ascii="Calibri" w:hAnsi="Calibri"/>
          <w:b/>
          <w:bCs/>
          <w:i w:val="0"/>
          <w:iCs w:val="0"/>
          <w:u w:val="single"/>
        </w:rPr>
      </w:pPr>
      <w:r>
        <w:rPr>
          <w:b/>
          <w:bCs/>
          <w:i w:val="0"/>
          <w:iCs w:val="0"/>
          <w:u w:val="single"/>
        </w:rPr>
        <w:t>EDUKACJA ZDROWOTNA • KLASA V SZKOŁY PODSTAWOWEJ</w:t>
      </w:r>
    </w:p>
    <w:tbl>
      <w:tblPr>
        <w:tblStyle w:val="12"/>
        <w:tblW w:w="9979" w:type="dxa"/>
        <w:jc w:val="center"/>
        <w:tblLayout w:type="fixed"/>
        <w:tblCellMar>
          <w:top w:w="80" w:type="dxa"/>
          <w:left w:w="100" w:type="dxa"/>
          <w:bottom w:w="80" w:type="dxa"/>
          <w:right w:w="100" w:type="dxa"/>
        </w:tblCellMar>
      </w:tblPr>
      <w:tblGrid>
        <w:gridCol w:w="4989"/>
        <w:gridCol w:w="4990"/>
      </w:tblGrid>
      <w:tr w14:paraId="7E812906">
        <w:tblPrEx>
          <w:tblCellMar>
            <w:top w:w="80" w:type="dxa"/>
            <w:left w:w="100" w:type="dxa"/>
            <w:bottom w:w="80" w:type="dxa"/>
            <w:right w:w="100" w:type="dxa"/>
          </w:tblCellMar>
        </w:tblPrEx>
        <w:trPr>
          <w:jc w:val="center"/>
        </w:trPr>
        <w:tc>
          <w:tcPr>
            <w:tcW w:w="4989" w:type="dxa"/>
            <w:tcBorders>
              <w:top w:val="single" w:color="000000" w:sz="6" w:space="0"/>
              <w:left w:val="single" w:color="000000" w:sz="6" w:space="0"/>
              <w:bottom w:val="single" w:color="000000" w:sz="6" w:space="0"/>
              <w:right w:val="single" w:color="000000" w:sz="6" w:space="0"/>
            </w:tcBorders>
            <w:shd w:val="clear" w:color="auto" w:fill="F2F2F2"/>
            <w:vAlign w:val="center"/>
          </w:tcPr>
          <w:p w14:paraId="7E812904">
            <w:pPr>
              <w:spacing w:after="0"/>
              <w:rPr>
                <w:sz w:val="22"/>
              </w:rPr>
            </w:pPr>
            <w:r>
              <w:rPr>
                <w:b/>
                <w:sz w:val="22"/>
              </w:rPr>
              <w:t>Szkoła</w:t>
            </w:r>
          </w:p>
        </w:tc>
        <w:tc>
          <w:tcPr>
            <w:tcW w:w="4990"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7E812905">
            <w:pPr>
              <w:spacing w:after="0"/>
              <w:rPr>
                <w:rFonts w:hint="default"/>
                <w:sz w:val="22"/>
                <w:lang w:val="pl-PL"/>
              </w:rPr>
            </w:pPr>
            <w:r>
              <w:rPr>
                <w:rFonts w:hint="default"/>
                <w:sz w:val="22"/>
                <w:lang w:val="pl-PL"/>
              </w:rPr>
              <w:t>Zespół Oswiatowy im. Jana Pawła II w Stoku Lackim</w:t>
            </w:r>
          </w:p>
        </w:tc>
      </w:tr>
      <w:tr w14:paraId="7E812909">
        <w:tblPrEx>
          <w:tblCellMar>
            <w:top w:w="80" w:type="dxa"/>
            <w:left w:w="100" w:type="dxa"/>
            <w:bottom w:w="80" w:type="dxa"/>
            <w:right w:w="100" w:type="dxa"/>
          </w:tblCellMar>
        </w:tblPrEx>
        <w:trPr>
          <w:jc w:val="center"/>
        </w:trPr>
        <w:tc>
          <w:tcPr>
            <w:tcW w:w="4989" w:type="dxa"/>
            <w:tcBorders>
              <w:top w:val="single" w:color="000000" w:sz="6" w:space="0"/>
              <w:left w:val="single" w:color="000000" w:sz="6" w:space="0"/>
              <w:bottom w:val="single" w:color="000000" w:sz="6" w:space="0"/>
              <w:right w:val="single" w:color="000000" w:sz="6" w:space="0"/>
            </w:tcBorders>
            <w:shd w:val="clear" w:color="auto" w:fill="F2F2F2"/>
            <w:vAlign w:val="center"/>
          </w:tcPr>
          <w:p w14:paraId="7E812907">
            <w:pPr>
              <w:spacing w:after="0"/>
              <w:rPr>
                <w:sz w:val="22"/>
              </w:rPr>
            </w:pPr>
            <w:r>
              <w:rPr>
                <w:b/>
                <w:sz w:val="22"/>
              </w:rPr>
              <w:t>Nauczyciel / nauczycielka</w:t>
            </w:r>
          </w:p>
        </w:tc>
        <w:tc>
          <w:tcPr>
            <w:tcW w:w="4990"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7E812908">
            <w:pPr>
              <w:spacing w:after="0"/>
              <w:rPr>
                <w:rFonts w:hint="default"/>
                <w:sz w:val="22"/>
                <w:lang w:val="pl-PL"/>
              </w:rPr>
            </w:pPr>
            <w:r>
              <w:rPr>
                <w:rFonts w:hint="default"/>
                <w:sz w:val="22"/>
                <w:highlight w:val="yellow"/>
                <w:lang w:val="pl-PL"/>
              </w:rPr>
              <w:t>Katarzyna Skrzyńska</w:t>
            </w:r>
          </w:p>
        </w:tc>
      </w:tr>
      <w:tr w14:paraId="7E81290C">
        <w:tblPrEx>
          <w:tblCellMar>
            <w:top w:w="80" w:type="dxa"/>
            <w:left w:w="100" w:type="dxa"/>
            <w:bottom w:w="80" w:type="dxa"/>
            <w:right w:w="100" w:type="dxa"/>
          </w:tblCellMar>
        </w:tblPrEx>
        <w:trPr>
          <w:jc w:val="center"/>
        </w:trPr>
        <w:tc>
          <w:tcPr>
            <w:tcW w:w="4989" w:type="dxa"/>
            <w:tcBorders>
              <w:top w:val="single" w:color="000000" w:sz="6" w:space="0"/>
              <w:left w:val="single" w:color="000000" w:sz="6" w:space="0"/>
              <w:bottom w:val="single" w:color="000000" w:sz="6" w:space="0"/>
              <w:right w:val="single" w:color="000000" w:sz="6" w:space="0"/>
            </w:tcBorders>
            <w:shd w:val="clear" w:color="auto" w:fill="F2F2F2"/>
            <w:vAlign w:val="center"/>
          </w:tcPr>
          <w:p w14:paraId="7E81290A">
            <w:pPr>
              <w:spacing w:after="0"/>
              <w:rPr>
                <w:sz w:val="22"/>
              </w:rPr>
            </w:pPr>
            <w:r>
              <w:rPr>
                <w:b/>
                <w:sz w:val="22"/>
              </w:rPr>
              <w:t>Klasa i oddział</w:t>
            </w:r>
          </w:p>
        </w:tc>
        <w:tc>
          <w:tcPr>
            <w:tcW w:w="4990"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7E81290B">
            <w:pPr>
              <w:spacing w:after="0"/>
              <w:rPr>
                <w:rFonts w:hint="default"/>
                <w:sz w:val="22"/>
                <w:lang w:val="pl-PL"/>
              </w:rPr>
            </w:pPr>
            <w:r>
              <w:rPr>
                <w:sz w:val="22"/>
                <w:highlight w:val="yellow"/>
              </w:rPr>
              <w:t>V</w:t>
            </w:r>
            <w:r>
              <w:rPr>
                <w:rFonts w:hint="default"/>
                <w:sz w:val="22"/>
                <w:highlight w:val="yellow"/>
                <w:lang w:val="pl-PL"/>
              </w:rPr>
              <w:t>a, Vb, Vc</w:t>
            </w:r>
          </w:p>
        </w:tc>
      </w:tr>
      <w:tr w14:paraId="7E81290F">
        <w:tblPrEx>
          <w:tblCellMar>
            <w:top w:w="80" w:type="dxa"/>
            <w:left w:w="100" w:type="dxa"/>
            <w:bottom w:w="80" w:type="dxa"/>
            <w:right w:w="100" w:type="dxa"/>
          </w:tblCellMar>
        </w:tblPrEx>
        <w:trPr>
          <w:jc w:val="center"/>
        </w:trPr>
        <w:tc>
          <w:tcPr>
            <w:tcW w:w="4989" w:type="dxa"/>
            <w:shd w:val="clear" w:color="auto" w:fill="F2F2F2"/>
            <w:vAlign w:val="center"/>
          </w:tcPr>
          <w:p w14:paraId="7E81290D">
            <w:pPr>
              <w:spacing w:after="0"/>
              <w:rPr>
                <w:sz w:val="22"/>
              </w:rPr>
            </w:pPr>
            <w:r>
              <w:rPr>
                <w:b/>
                <w:sz w:val="22"/>
              </w:rPr>
              <w:t>Rok szkolny</w:t>
            </w:r>
          </w:p>
        </w:tc>
        <w:tc>
          <w:tcPr>
            <w:tcW w:w="4990" w:type="dxa"/>
            <w:vAlign w:val="center"/>
          </w:tcPr>
          <w:p w14:paraId="7E81290E">
            <w:pPr>
              <w:spacing w:after="0"/>
              <w:rPr>
                <w:sz w:val="22"/>
              </w:rPr>
            </w:pPr>
            <w:r>
              <w:rPr>
                <w:sz w:val="22"/>
                <w:highlight w:val="yellow"/>
              </w:rPr>
              <w:t>2026/2027</w:t>
            </w:r>
          </w:p>
        </w:tc>
      </w:tr>
      <w:tr w14:paraId="7E812912">
        <w:tblPrEx>
          <w:tblCellMar>
            <w:top w:w="80" w:type="dxa"/>
            <w:left w:w="100" w:type="dxa"/>
            <w:bottom w:w="80" w:type="dxa"/>
            <w:right w:w="100" w:type="dxa"/>
          </w:tblCellMar>
        </w:tblPrEx>
        <w:trPr>
          <w:jc w:val="center"/>
        </w:trPr>
        <w:tc>
          <w:tcPr>
            <w:tcW w:w="4989" w:type="dxa"/>
            <w:shd w:val="clear" w:color="auto" w:fill="F2F2F2"/>
            <w:vAlign w:val="center"/>
          </w:tcPr>
          <w:p w14:paraId="7E812910">
            <w:pPr>
              <w:spacing w:after="0"/>
              <w:rPr>
                <w:sz w:val="22"/>
              </w:rPr>
            </w:pPr>
            <w:r>
              <w:rPr>
                <w:b/>
                <w:sz w:val="22"/>
              </w:rPr>
              <w:t>Realizowany program nauczania</w:t>
            </w:r>
          </w:p>
        </w:tc>
        <w:tc>
          <w:tcPr>
            <w:tcW w:w="4990" w:type="dxa"/>
            <w:vAlign w:val="center"/>
          </w:tcPr>
          <w:p w14:paraId="7E812911">
            <w:pPr>
              <w:spacing w:after="0"/>
              <w:rPr>
                <w:rFonts w:hint="default"/>
                <w:sz w:val="22"/>
                <w:lang w:val="pl-PL"/>
              </w:rPr>
            </w:pPr>
            <w:r>
              <w:rPr>
                <w:rFonts w:hint="default"/>
                <w:sz w:val="22"/>
                <w:highlight w:val="yellow"/>
                <w:lang w:val="pl-PL"/>
              </w:rPr>
              <w:t>Zdrowie w praktyce Magdalena Juszkiewicz</w:t>
            </w:r>
          </w:p>
        </w:tc>
      </w:tr>
      <w:tr w14:paraId="7E812915">
        <w:tblPrEx>
          <w:tblCellMar>
            <w:top w:w="80" w:type="dxa"/>
            <w:left w:w="100" w:type="dxa"/>
            <w:bottom w:w="80" w:type="dxa"/>
            <w:right w:w="100" w:type="dxa"/>
          </w:tblCellMar>
        </w:tblPrEx>
        <w:trPr>
          <w:jc w:val="center"/>
        </w:trPr>
        <w:tc>
          <w:tcPr>
            <w:tcW w:w="4989" w:type="dxa"/>
            <w:shd w:val="clear" w:color="auto" w:fill="F2F2F2"/>
            <w:vAlign w:val="center"/>
          </w:tcPr>
          <w:p w14:paraId="7E812913">
            <w:pPr>
              <w:spacing w:after="0"/>
              <w:rPr>
                <w:sz w:val="22"/>
              </w:rPr>
            </w:pPr>
            <w:r>
              <w:rPr>
                <w:b/>
                <w:sz w:val="22"/>
              </w:rPr>
              <w:t>Podręcznik / materiały wiodące</w:t>
            </w:r>
          </w:p>
        </w:tc>
        <w:tc>
          <w:tcPr>
            <w:tcW w:w="4990" w:type="dxa"/>
            <w:vAlign w:val="center"/>
          </w:tcPr>
          <w:p w14:paraId="7E812914">
            <w:pPr>
              <w:spacing w:after="0"/>
              <w:rPr>
                <w:rFonts w:hint="default"/>
                <w:sz w:val="22"/>
                <w:lang w:val="pl-PL"/>
              </w:rPr>
            </w:pPr>
            <w:r>
              <w:rPr>
                <w:rFonts w:hint="default"/>
                <w:sz w:val="22"/>
                <w:highlight w:val="yellow"/>
                <w:lang w:val="pl-PL"/>
              </w:rPr>
              <w:t>Nie dotyczy</w:t>
            </w:r>
          </w:p>
        </w:tc>
      </w:tr>
      <w:tr w14:paraId="7E812918">
        <w:tblPrEx>
          <w:tblCellMar>
            <w:top w:w="80" w:type="dxa"/>
            <w:left w:w="100" w:type="dxa"/>
            <w:bottom w:w="80" w:type="dxa"/>
            <w:right w:w="100" w:type="dxa"/>
          </w:tblCellMar>
        </w:tblPrEx>
        <w:trPr>
          <w:jc w:val="center"/>
        </w:trPr>
        <w:tc>
          <w:tcPr>
            <w:tcW w:w="4989" w:type="dxa"/>
            <w:shd w:val="clear" w:color="auto" w:fill="F2F2F2"/>
            <w:vAlign w:val="center"/>
          </w:tcPr>
          <w:p w14:paraId="7E812916">
            <w:pPr>
              <w:spacing w:after="0"/>
              <w:rPr>
                <w:b/>
                <w:sz w:val="22"/>
              </w:rPr>
            </w:pPr>
            <w:r>
              <w:rPr>
                <w:b/>
                <w:sz w:val="22"/>
              </w:rPr>
              <w:t xml:space="preserve">Data/sposób poinformowania uczniów i rodziców/opiekunów prawnych </w:t>
            </w:r>
          </w:p>
        </w:tc>
        <w:tc>
          <w:tcPr>
            <w:tcW w:w="4990" w:type="dxa"/>
            <w:vAlign w:val="center"/>
          </w:tcPr>
          <w:p w14:paraId="7E812917">
            <w:pPr>
              <w:spacing w:after="0"/>
              <w:rPr>
                <w:rFonts w:hint="default"/>
                <w:sz w:val="22"/>
                <w:lang w:val="pl-PL"/>
              </w:rPr>
            </w:pPr>
            <w:r>
              <w:rPr>
                <w:rFonts w:hint="default"/>
                <w:sz w:val="22"/>
                <w:highlight w:val="yellow"/>
                <w:lang w:val="pl-PL"/>
              </w:rPr>
              <w:t>Wrzesień 2026r. , zebranie z Rodzicami</w:t>
            </w:r>
          </w:p>
        </w:tc>
      </w:tr>
    </w:tbl>
    <w:p w14:paraId="7E812919">
      <w:pPr>
        <w:pStyle w:val="2"/>
        <w:spacing w:before="0"/>
        <w:rPr>
          <w:rFonts w:ascii="Calibri" w:hAnsi="Calibri"/>
          <w:sz w:val="22"/>
          <w:szCs w:val="22"/>
        </w:rPr>
      </w:pPr>
    </w:p>
    <w:p w14:paraId="7E81291A">
      <w:pPr>
        <w:pStyle w:val="2"/>
        <w:spacing w:before="0"/>
        <w:rPr>
          <w:rFonts w:ascii="Calibri" w:hAnsi="Calibri"/>
          <w:sz w:val="22"/>
          <w:szCs w:val="22"/>
        </w:rPr>
      </w:pPr>
      <w:r>
        <w:rPr>
          <w:sz w:val="22"/>
          <w:szCs w:val="22"/>
        </w:rPr>
        <w:t>Charakter dokumentu</w:t>
      </w:r>
    </w:p>
    <w:p w14:paraId="7E81291B">
      <w:pPr>
        <w:rPr>
          <w:sz w:val="22"/>
        </w:rPr>
      </w:pPr>
      <w:r>
        <w:rPr>
          <w:b/>
          <w:sz w:val="22"/>
        </w:rPr>
        <w:t>Rozwijanie odpowiedzialności za zdrowie, profilaktyki, bezpiecznej aktywności i odżywiania, radzenia sobie ze stresem, asertywności, relacji rodzinnych, dojrzewania oraz krytycznego korzystania z technologii. Dokument obejmuje wymagania edukacyjne oraz zasady oceniania z obowiązkowej edukacji zdrowotnej. Nie jest rozkładem materiału ani programem nauczania.</w:t>
      </w:r>
    </w:p>
    <w:tbl>
      <w:tblPr>
        <w:tblStyle w:val="12"/>
        <w:tblW w:w="9979" w:type="dxa"/>
        <w:jc w:val="center"/>
        <w:tblLayout w:type="fixed"/>
        <w:tblCellMar>
          <w:top w:w="0" w:type="dxa"/>
          <w:left w:w="108" w:type="dxa"/>
          <w:bottom w:w="0" w:type="dxa"/>
          <w:right w:w="108" w:type="dxa"/>
        </w:tblCellMar>
      </w:tblPr>
      <w:tblGrid>
        <w:gridCol w:w="9979"/>
      </w:tblGrid>
      <w:tr w14:paraId="7E81291E">
        <w:tblPrEx>
          <w:tblCellMar>
            <w:top w:w="0" w:type="dxa"/>
            <w:left w:w="108" w:type="dxa"/>
            <w:bottom w:w="0" w:type="dxa"/>
            <w:right w:w="108" w:type="dxa"/>
          </w:tblCellMar>
        </w:tblPrEx>
        <w:trPr>
          <w:jc w:val="center"/>
        </w:trPr>
        <w:tc>
          <w:tcPr>
            <w:tcW w:w="9979" w:type="dxa"/>
            <w:tcBorders>
              <w:top w:val="single" w:color="000000" w:sz="8" w:space="0"/>
              <w:left w:val="single" w:color="000000" w:sz="8" w:space="0"/>
              <w:bottom w:val="single" w:color="000000" w:sz="8" w:space="0"/>
              <w:right w:val="single" w:color="000000" w:sz="8" w:space="0"/>
            </w:tcBorders>
          </w:tcPr>
          <w:p w14:paraId="7E81291C">
            <w:pPr>
              <w:spacing w:after="40"/>
              <w:rPr>
                <w:sz w:val="22"/>
              </w:rPr>
            </w:pPr>
            <w:r>
              <w:rPr>
                <w:b/>
                <w:sz w:val="22"/>
              </w:rPr>
              <w:t>WAŻNE: dokument klasowy jest autorskim uszczegółowieniem</w:t>
            </w:r>
          </w:p>
          <w:p w14:paraId="7E81291D">
            <w:pPr>
              <w:spacing w:after="0"/>
              <w:rPr>
                <w:sz w:val="22"/>
              </w:rPr>
            </w:pPr>
            <w:r>
              <w:rPr>
                <w:sz w:val="22"/>
              </w:rPr>
              <w:t>Podstawa programowa określa wymagania łącznie dla klas IV–VI, a nie osobno dla klasy V. Poniższy podział jest propozycją pedagogiczną, którą nauczyciel dostosowuje do realizowanego programu nauczania. W całym trzyletnim etapie należy zapewnić realizację pełnego zakresu podstawy.</w:t>
            </w:r>
          </w:p>
        </w:tc>
      </w:tr>
    </w:tbl>
    <w:p w14:paraId="7E81291F">
      <w:pPr>
        <w:spacing w:after="0"/>
        <w:rPr>
          <w:sz w:val="22"/>
        </w:rPr>
      </w:pPr>
    </w:p>
    <w:tbl>
      <w:tblPr>
        <w:tblStyle w:val="12"/>
        <w:tblW w:w="9979" w:type="dxa"/>
        <w:jc w:val="center"/>
        <w:tblLayout w:type="fixed"/>
        <w:tblCellMar>
          <w:top w:w="0" w:type="dxa"/>
          <w:left w:w="108" w:type="dxa"/>
          <w:bottom w:w="0" w:type="dxa"/>
          <w:right w:w="108" w:type="dxa"/>
        </w:tblCellMar>
      </w:tblPr>
      <w:tblGrid>
        <w:gridCol w:w="9979"/>
      </w:tblGrid>
      <w:tr w14:paraId="7E812922">
        <w:tblPrEx>
          <w:tblCellMar>
            <w:top w:w="0" w:type="dxa"/>
            <w:left w:w="108" w:type="dxa"/>
            <w:bottom w:w="0" w:type="dxa"/>
            <w:right w:w="108" w:type="dxa"/>
          </w:tblCellMar>
        </w:tblPrEx>
        <w:trPr>
          <w:jc w:val="center"/>
        </w:trPr>
        <w:tc>
          <w:tcPr>
            <w:tcW w:w="9979" w:type="dxa"/>
            <w:tcBorders>
              <w:top w:val="single" w:color="000000" w:sz="8" w:space="0"/>
              <w:left w:val="single" w:color="000000" w:sz="8" w:space="0"/>
              <w:bottom w:val="single" w:color="000000" w:sz="8" w:space="0"/>
              <w:right w:val="single" w:color="000000" w:sz="8" w:space="0"/>
            </w:tcBorders>
          </w:tcPr>
          <w:p w14:paraId="7E812920">
            <w:pPr>
              <w:spacing w:after="40"/>
              <w:rPr>
                <w:sz w:val="22"/>
              </w:rPr>
            </w:pPr>
            <w:r>
              <w:rPr>
                <w:b/>
                <w:sz w:val="22"/>
              </w:rPr>
              <w:t>Stan legislacyjny</w:t>
            </w:r>
          </w:p>
          <w:p w14:paraId="7E812921">
            <w:pPr>
              <w:spacing w:after="0"/>
              <w:rPr>
                <w:sz w:val="22"/>
              </w:rPr>
            </w:pPr>
            <w:r>
              <w:rPr>
                <w:sz w:val="22"/>
              </w:rPr>
              <w:t xml:space="preserve">Stan legislacyjny na 13 sierpnia 2026 r. Dokument przygotowano do stosowania w roku szkolnym 2026/2027 z uwzględnieniem nowej podstawy programowej szkoły podstawowej określonej w rozporządzeniu Ministra Edukacji z 11 marca 2026 r. (Dz.U. 2026 poz. 378), zmienionym rozporządzeniem Ministra Edukacji z 8 lipca 2026 r. (Dz.U. 2026 poz. 958), przepisów dotyczących zajęć „edukacja zdrowotna – zdrowie seksualne” (Dz.U. 2026 poz. 966) oraz ramowych planów nauczania dla publicznych szkół (Dz.U. 2026 poz. 1028). W roku szkolnym 2026/2027 nową podstawę w zakresie edukacji zdrowotnej oraz edukacji zdrowotnej – zdrowia seksualnego stosuje się również w klasach V–VIII szkoły podstawowej. </w:t>
            </w:r>
          </w:p>
        </w:tc>
      </w:tr>
    </w:tbl>
    <w:p w14:paraId="7E812923">
      <w:pPr>
        <w:spacing w:after="0"/>
        <w:rPr>
          <w:sz w:val="22"/>
        </w:rPr>
      </w:pPr>
    </w:p>
    <w:p w14:paraId="7E812924">
      <w:pPr>
        <w:pStyle w:val="2"/>
        <w:spacing w:before="0"/>
        <w:rPr>
          <w:rFonts w:ascii="Calibri" w:hAnsi="Calibri"/>
          <w:sz w:val="22"/>
          <w:szCs w:val="22"/>
        </w:rPr>
      </w:pPr>
      <w:r>
        <w:rPr>
          <w:sz w:val="22"/>
          <w:szCs w:val="22"/>
        </w:rPr>
        <w:t>1. Podstawa prawna i zakres stosowania</w:t>
      </w:r>
    </w:p>
    <w:p w14:paraId="7E812925">
      <w:pPr>
        <w:pStyle w:val="26"/>
        <w:rPr>
          <w:sz w:val="22"/>
        </w:rPr>
      </w:pPr>
      <w:r>
        <w:rPr>
          <w:sz w:val="22"/>
        </w:rPr>
        <w:t xml:space="preserve">Ustawa z 7 września 1991 r. o systemie oświaty – tekst jednolity: Dz.U. 2025 poz. 881, z późn. zm.; w szczególności art. 44b–44e. </w:t>
      </w:r>
      <w:r>
        <w:fldChar w:fldCharType="begin"/>
      </w:r>
      <w:r>
        <w:instrText xml:space="preserve"> HYPERLINK "https://eli.gov.pl/eli/DU/2025/881/ogl" \h </w:instrText>
      </w:r>
      <w:r>
        <w:fldChar w:fldCharType="separate"/>
      </w:r>
      <w:r>
        <w:rPr>
          <w:sz w:val="22"/>
          <w:u w:val="single"/>
        </w:rPr>
        <w:t>Tekst aktu</w:t>
      </w:r>
      <w:r>
        <w:rPr>
          <w:sz w:val="22"/>
          <w:u w:val="single"/>
        </w:rPr>
        <w:fldChar w:fldCharType="end"/>
      </w:r>
    </w:p>
    <w:p w14:paraId="7E812926">
      <w:pPr>
        <w:pStyle w:val="26"/>
        <w:rPr>
          <w:sz w:val="22"/>
        </w:rPr>
      </w:pPr>
      <w:r>
        <w:rPr>
          <w:sz w:val="22"/>
        </w:rPr>
        <w:t xml:space="preserve">Rozporządzenie MEN z 22 lutego 2019 r. w sprawie oceniania, klasyfikowania i promowania – tekst jednolity: Dz.U. 2023 poz. 2572, z późn. zm. </w:t>
      </w:r>
      <w:r>
        <w:fldChar w:fldCharType="begin"/>
      </w:r>
      <w:r>
        <w:instrText xml:space="preserve"> HYPERLINK "https://eli.gov.pl/eli/DU/2023/2572/ogl" \h </w:instrText>
      </w:r>
      <w:r>
        <w:fldChar w:fldCharType="separate"/>
      </w:r>
      <w:r>
        <w:rPr>
          <w:sz w:val="22"/>
          <w:u w:val="single"/>
        </w:rPr>
        <w:t>Tekst aktu</w:t>
      </w:r>
      <w:r>
        <w:rPr>
          <w:sz w:val="22"/>
          <w:u w:val="single"/>
        </w:rPr>
        <w:fldChar w:fldCharType="end"/>
      </w:r>
    </w:p>
    <w:p w14:paraId="7E812927">
      <w:pPr>
        <w:pStyle w:val="26"/>
        <w:rPr>
          <w:sz w:val="22"/>
        </w:rPr>
      </w:pPr>
      <w:r>
        <w:rPr>
          <w:sz w:val="22"/>
        </w:rPr>
        <w:t xml:space="preserve">Rozporządzenie ME z 22 marca 2024 r. – nieobowiązkowe i nieoceniane prace domowe w klasach IV–VIII: Dz.U. 2024 poz. 438. </w:t>
      </w:r>
      <w:r>
        <w:fldChar w:fldCharType="begin"/>
      </w:r>
      <w:r>
        <w:instrText xml:space="preserve"> HYPERLINK "https://eli.gov.pl/eli/DU/2024/438/ogl" \h </w:instrText>
      </w:r>
      <w:r>
        <w:fldChar w:fldCharType="separate"/>
      </w:r>
      <w:r>
        <w:rPr>
          <w:sz w:val="22"/>
          <w:u w:val="single"/>
        </w:rPr>
        <w:t>Tekst aktu</w:t>
      </w:r>
      <w:r>
        <w:rPr>
          <w:sz w:val="22"/>
          <w:u w:val="single"/>
        </w:rPr>
        <w:fldChar w:fldCharType="end"/>
      </w:r>
    </w:p>
    <w:p w14:paraId="7E812928">
      <w:pPr>
        <w:pStyle w:val="26"/>
        <w:rPr>
          <w:sz w:val="22"/>
        </w:rPr>
      </w:pPr>
      <w:r>
        <w:rPr>
          <w:sz w:val="22"/>
        </w:rPr>
        <w:t xml:space="preserve">Rozporządzenie ME z 8 lipca 2026 r. zmieniające podstawę programową szkoły podstawowej: Dz.U. 2026 poz. 958. </w:t>
      </w:r>
      <w:r>
        <w:fldChar w:fldCharType="begin"/>
      </w:r>
      <w:r>
        <w:instrText xml:space="preserve"> HYPERLINK "https://eli.gov.pl/eli/DU/2026/958/ogl" \h </w:instrText>
      </w:r>
      <w:r>
        <w:fldChar w:fldCharType="separate"/>
      </w:r>
      <w:r>
        <w:rPr>
          <w:sz w:val="22"/>
          <w:u w:val="single"/>
        </w:rPr>
        <w:t>Tekst aktu</w:t>
      </w:r>
      <w:r>
        <w:rPr>
          <w:sz w:val="22"/>
          <w:u w:val="single"/>
        </w:rPr>
        <w:fldChar w:fldCharType="end"/>
      </w:r>
    </w:p>
    <w:p w14:paraId="7E812929">
      <w:pPr>
        <w:pStyle w:val="26"/>
        <w:rPr>
          <w:sz w:val="22"/>
        </w:rPr>
      </w:pPr>
      <w:r>
        <w:rPr>
          <w:sz w:val="22"/>
        </w:rPr>
        <w:t xml:space="preserve">Rozporządzenie ME z 17 lipca 2026 r. dotyczące zajęć „edukacja zdrowotna – zdrowie seksualne”: Dz.U. 2026 poz. 966. </w:t>
      </w:r>
      <w:r>
        <w:fldChar w:fldCharType="begin"/>
      </w:r>
      <w:r>
        <w:instrText xml:space="preserve"> HYPERLINK "https://eli.gov.pl/eli/DU/2026/966/ogl" \h </w:instrText>
      </w:r>
      <w:r>
        <w:fldChar w:fldCharType="separate"/>
      </w:r>
      <w:r>
        <w:rPr>
          <w:sz w:val="22"/>
          <w:u w:val="single"/>
        </w:rPr>
        <w:t>Tekst aktu</w:t>
      </w:r>
      <w:r>
        <w:rPr>
          <w:sz w:val="22"/>
          <w:u w:val="single"/>
        </w:rPr>
        <w:fldChar w:fldCharType="end"/>
      </w:r>
    </w:p>
    <w:p w14:paraId="7E81292A">
      <w:pPr>
        <w:pStyle w:val="3"/>
        <w:rPr>
          <w:rFonts w:ascii="Calibri" w:hAnsi="Calibri"/>
          <w:sz w:val="22"/>
          <w:szCs w:val="22"/>
        </w:rPr>
      </w:pPr>
      <w:r>
        <w:rPr>
          <w:sz w:val="22"/>
          <w:szCs w:val="22"/>
        </w:rPr>
        <w:t>Co wynika wprost z przepisów</w:t>
      </w:r>
    </w:p>
    <w:p w14:paraId="7E81292B">
      <w:pPr>
        <w:pStyle w:val="26"/>
        <w:rPr>
          <w:sz w:val="22"/>
        </w:rPr>
      </w:pPr>
      <w:r>
        <w:rPr>
          <w:sz w:val="22"/>
        </w:rPr>
        <w:t>ocenianie osiągnięć polega na rozpoznawaniu poziomu i postępów ucznia w opanowaniu wiadomości i umiejętności względem podstawy programowej i realizowanego programu;</w:t>
      </w:r>
    </w:p>
    <w:p w14:paraId="7E81292C">
      <w:pPr>
        <w:pStyle w:val="26"/>
        <w:rPr>
          <w:sz w:val="22"/>
        </w:rPr>
      </w:pPr>
      <w:r>
        <w:rPr>
          <w:sz w:val="22"/>
        </w:rPr>
        <w:t>nauczyciel na początku roku informuje uczniów i rodziców o wymaganiach na poszczególne oceny, sposobach sprawdzania osiągnięć oraz trybie uzyskania oceny wyższej niż przewidywana;</w:t>
      </w:r>
    </w:p>
    <w:p w14:paraId="7E81292D">
      <w:pPr>
        <w:pStyle w:val="26"/>
        <w:rPr>
          <w:sz w:val="22"/>
        </w:rPr>
      </w:pPr>
      <w:r>
        <w:rPr>
          <w:sz w:val="22"/>
        </w:rPr>
        <w:t>szczegółowe zasady oceniania, poprawy, klasyfikacji i przekazywania informacji określa statut szkoły;</w:t>
      </w:r>
    </w:p>
    <w:p w14:paraId="7E81292E">
      <w:pPr>
        <w:pStyle w:val="26"/>
        <w:rPr>
          <w:sz w:val="22"/>
        </w:rPr>
      </w:pPr>
      <w:r>
        <w:rPr>
          <w:sz w:val="22"/>
        </w:rPr>
        <w:t>oceny są jawne, nauczyciel je uzasadnia, a sprawdzone prace i dokumentacja oceniania są udostępniane uczniowi i rodzicom;</w:t>
      </w:r>
    </w:p>
    <w:p w14:paraId="7E81292F">
      <w:pPr>
        <w:pStyle w:val="26"/>
        <w:rPr>
          <w:sz w:val="22"/>
        </w:rPr>
      </w:pPr>
      <w:r>
        <w:rPr>
          <w:sz w:val="22"/>
        </w:rPr>
        <w:t>wymagania należy dostosować do indywidualnych potrzeb i możliwości ucznia w przypadkach wskazanych w przepisach;</w:t>
      </w:r>
    </w:p>
    <w:p w14:paraId="7E812930">
      <w:pPr>
        <w:pStyle w:val="26"/>
        <w:rPr>
          <w:sz w:val="22"/>
        </w:rPr>
      </w:pPr>
      <w:r>
        <w:rPr>
          <w:sz w:val="22"/>
        </w:rPr>
        <w:t>od klasy IV roczne i końcowe oceny klasyfikacyjne ustala się w skali 1–6.</w:t>
      </w:r>
    </w:p>
    <w:p w14:paraId="7E812931">
      <w:pPr>
        <w:pStyle w:val="3"/>
        <w:rPr>
          <w:rFonts w:ascii="Calibri" w:hAnsi="Calibri"/>
          <w:sz w:val="22"/>
          <w:szCs w:val="22"/>
        </w:rPr>
      </w:pPr>
      <w:r>
        <w:rPr>
          <w:sz w:val="22"/>
          <w:szCs w:val="22"/>
        </w:rPr>
        <w:t>Obowiązkowy przedmiot a zajęcia nieobowiązkowe</w:t>
      </w:r>
    </w:p>
    <w:tbl>
      <w:tblPr>
        <w:tblStyle w:val="12"/>
        <w:tblW w:w="9979" w:type="dxa"/>
        <w:jc w:val="center"/>
        <w:tblLayout w:type="fixed"/>
        <w:tblCellMar>
          <w:top w:w="0" w:type="dxa"/>
          <w:left w:w="108" w:type="dxa"/>
          <w:bottom w:w="0" w:type="dxa"/>
          <w:right w:w="108" w:type="dxa"/>
        </w:tblCellMar>
      </w:tblPr>
      <w:tblGrid>
        <w:gridCol w:w="9979"/>
      </w:tblGrid>
      <w:tr w14:paraId="7E812934">
        <w:tblPrEx>
          <w:tblCellMar>
            <w:top w:w="0" w:type="dxa"/>
            <w:left w:w="108" w:type="dxa"/>
            <w:bottom w:w="0" w:type="dxa"/>
            <w:right w:w="108" w:type="dxa"/>
          </w:tblCellMar>
        </w:tblPrEx>
        <w:trPr>
          <w:jc w:val="center"/>
        </w:trPr>
        <w:tc>
          <w:tcPr>
            <w:tcW w:w="9979" w:type="dxa"/>
            <w:tcBorders>
              <w:top w:val="single" w:color="000000" w:sz="8" w:space="0"/>
              <w:left w:val="single" w:color="000000" w:sz="8" w:space="0"/>
              <w:bottom w:val="single" w:color="000000" w:sz="8" w:space="0"/>
              <w:right w:val="single" w:color="000000" w:sz="8" w:space="0"/>
            </w:tcBorders>
          </w:tcPr>
          <w:p w14:paraId="7E812932">
            <w:pPr>
              <w:spacing w:after="40"/>
              <w:rPr>
                <w:sz w:val="22"/>
              </w:rPr>
            </w:pPr>
            <w:r>
              <w:rPr>
                <w:b/>
                <w:sz w:val="22"/>
              </w:rPr>
              <w:t>Granica programowa w klasie V</w:t>
            </w:r>
          </w:p>
          <w:p w14:paraId="7E812933">
            <w:pPr>
              <w:spacing w:after="0"/>
              <w:rPr>
                <w:sz w:val="22"/>
              </w:rPr>
            </w:pPr>
            <w:r>
              <w:rPr>
                <w:sz w:val="22"/>
              </w:rPr>
              <w:t>W klasie V odrębne zajęcia „edukacja zdrowotna – zdrowie seksualne” obejmują stereotypy dotyczące płci oraz ich możliwy wpływ na funkcjonowanie człowieka. Zajęcia są nieobowiązkowe i nie podlegają ocenie. W obowiązkowej edukacji zdrowotnej można natomiast oceniać wiedzę i umiejętności dotyczące szacunku, empatii, poczucia własnej wartości, asertywności, przeciwdziałania przemocy, relacji oraz krytycznej analizy przekazów medialnych, jeżeli wynikają z programu obowiązkowego przedmiotu.</w:t>
            </w:r>
          </w:p>
        </w:tc>
      </w:tr>
    </w:tbl>
    <w:p w14:paraId="7E812935">
      <w:pPr>
        <w:spacing w:after="0"/>
        <w:rPr>
          <w:sz w:val="22"/>
        </w:rPr>
      </w:pPr>
    </w:p>
    <w:p w14:paraId="7E812936">
      <w:pPr>
        <w:rPr>
          <w:sz w:val="22"/>
        </w:rPr>
      </w:pPr>
      <w:r>
        <w:rPr>
          <w:b/>
          <w:sz w:val="22"/>
        </w:rPr>
        <w:t xml:space="preserve">Zasada rozstrzygająca: </w:t>
      </w:r>
      <w:r>
        <w:rPr>
          <w:sz w:val="22"/>
        </w:rPr>
        <w:t>o możliwości oceniania decyduje źródło wymagania i program obowiązkowego przedmiotu, a nie sama nazwa tematu. Treści zrealizowane wyłącznie podczas zajęć nieobowiązkowych nie mogą wpływać na ocenę z edukacji zdrowotnej.</w:t>
      </w:r>
    </w:p>
    <w:p w14:paraId="7E81294E">
      <w:pPr>
        <w:pStyle w:val="2"/>
        <w:rPr>
          <w:rFonts w:ascii="Calibri" w:hAnsi="Calibri"/>
          <w:sz w:val="22"/>
          <w:szCs w:val="22"/>
        </w:rPr>
      </w:pPr>
      <w:r>
        <w:rPr>
          <w:sz w:val="22"/>
          <w:szCs w:val="22"/>
        </w:rPr>
        <w:t>2. Zasady oceniania</w:t>
      </w:r>
    </w:p>
    <w:p w14:paraId="7E81294F">
      <w:pPr>
        <w:pStyle w:val="3"/>
        <w:rPr>
          <w:rFonts w:ascii="Calibri" w:hAnsi="Calibri"/>
          <w:sz w:val="22"/>
          <w:szCs w:val="22"/>
        </w:rPr>
      </w:pPr>
      <w:r>
        <w:rPr>
          <w:sz w:val="22"/>
          <w:szCs w:val="22"/>
        </w:rPr>
        <w:t>Przedmiot oceny</w:t>
      </w:r>
    </w:p>
    <w:p w14:paraId="7E812950">
      <w:pPr>
        <w:pStyle w:val="26"/>
        <w:rPr>
          <w:sz w:val="22"/>
        </w:rPr>
      </w:pPr>
      <w:r>
        <w:rPr>
          <w:sz w:val="22"/>
        </w:rPr>
        <w:t>wiedza zgodna z podstawą programową i realizowanym programem nauczania;</w:t>
      </w:r>
    </w:p>
    <w:p w14:paraId="7E812951">
      <w:pPr>
        <w:pStyle w:val="26"/>
        <w:rPr>
          <w:sz w:val="22"/>
        </w:rPr>
      </w:pPr>
      <w:r>
        <w:rPr>
          <w:sz w:val="22"/>
        </w:rPr>
        <w:t>umiejętność wyjaśniania zależności, analizowania sytuacji i podejmowania bezpiecznych decyzji;</w:t>
      </w:r>
    </w:p>
    <w:p w14:paraId="7E812952">
      <w:pPr>
        <w:pStyle w:val="26"/>
        <w:rPr>
          <w:sz w:val="22"/>
        </w:rPr>
      </w:pPr>
      <w:r>
        <w:rPr>
          <w:sz w:val="22"/>
        </w:rPr>
        <w:t>stosowanie procedur w symulacji lub zadaniu praktycznym;</w:t>
      </w:r>
    </w:p>
    <w:p w14:paraId="7E812953">
      <w:pPr>
        <w:pStyle w:val="26"/>
        <w:rPr>
          <w:sz w:val="22"/>
        </w:rPr>
      </w:pPr>
      <w:r>
        <w:rPr>
          <w:sz w:val="22"/>
        </w:rPr>
        <w:t>korzystanie z rzetelnych źródeł, odróżnianie faktów od opinii i rozpoznawanie dezinformacji;</w:t>
      </w:r>
    </w:p>
    <w:p w14:paraId="7E812954">
      <w:pPr>
        <w:pStyle w:val="26"/>
        <w:rPr>
          <w:sz w:val="22"/>
        </w:rPr>
      </w:pPr>
      <w:r>
        <w:rPr>
          <w:sz w:val="22"/>
        </w:rPr>
        <w:t>planowanie, wykonanie i refleksja nad doświadczeniem edukacyjnym realizowanym w warunkach szkolnych;</w:t>
      </w:r>
    </w:p>
    <w:p w14:paraId="7E812955">
      <w:pPr>
        <w:pStyle w:val="26"/>
        <w:rPr>
          <w:sz w:val="22"/>
        </w:rPr>
      </w:pPr>
      <w:r>
        <w:rPr>
          <w:sz w:val="22"/>
        </w:rPr>
        <w:t>komunikowanie wniosków rzeczowo, z poszanowaniem godności, bezpieczeństwa i prywatności.</w:t>
      </w:r>
    </w:p>
    <w:p w14:paraId="7E812956">
      <w:pPr>
        <w:pStyle w:val="3"/>
        <w:rPr>
          <w:rFonts w:ascii="Calibri" w:hAnsi="Calibri"/>
          <w:sz w:val="22"/>
          <w:szCs w:val="22"/>
        </w:rPr>
      </w:pPr>
      <w:r>
        <w:rPr>
          <w:sz w:val="22"/>
          <w:szCs w:val="22"/>
        </w:rPr>
        <w:t>Czego nie oceniamy</w:t>
      </w:r>
    </w:p>
    <w:p w14:paraId="7E812957">
      <w:pPr>
        <w:pStyle w:val="26"/>
        <w:rPr>
          <w:sz w:val="22"/>
        </w:rPr>
      </w:pPr>
      <w:r>
        <w:rPr>
          <w:sz w:val="22"/>
        </w:rPr>
        <w:t>stanu zdrowia, diagnozy, sprawności, masy ciała, wyglądu ani tempa dojrzewania ucznia;</w:t>
      </w:r>
    </w:p>
    <w:p w14:paraId="7E812958">
      <w:pPr>
        <w:pStyle w:val="26"/>
        <w:rPr>
          <w:sz w:val="22"/>
        </w:rPr>
      </w:pPr>
      <w:r>
        <w:rPr>
          <w:sz w:val="22"/>
        </w:rPr>
        <w:t>prywatnych zachowań zdrowotnych ucznia lub jego rodziny, sytuacji rodzinnej i domowych przekonań;</w:t>
      </w:r>
    </w:p>
    <w:p w14:paraId="7E812959">
      <w:pPr>
        <w:pStyle w:val="26"/>
        <w:rPr>
          <w:sz w:val="22"/>
        </w:rPr>
      </w:pPr>
      <w:r>
        <w:rPr>
          <w:sz w:val="22"/>
        </w:rPr>
        <w:t>gotowości do ujawniania własnych doświadczeń, emocji, tożsamości, orientacji, relacji lub historii przemocy;</w:t>
      </w:r>
    </w:p>
    <w:p w14:paraId="7E81295A">
      <w:pPr>
        <w:pStyle w:val="26"/>
        <w:rPr>
          <w:sz w:val="22"/>
        </w:rPr>
      </w:pPr>
      <w:r>
        <w:rPr>
          <w:sz w:val="22"/>
        </w:rPr>
        <w:t>zgodności poglądów ucznia z poglądami nauczyciela; ocenie może podlegać rzeczowość argumentacji i praca ze źródłem;</w:t>
      </w:r>
    </w:p>
    <w:p w14:paraId="7E81295B">
      <w:pPr>
        <w:pStyle w:val="26"/>
        <w:rPr>
          <w:sz w:val="22"/>
        </w:rPr>
      </w:pPr>
      <w:r>
        <w:rPr>
          <w:sz w:val="22"/>
        </w:rPr>
        <w:t>samej obecności, podporządkowania, grzeczności lub aktywności rozumianej jako częste zabieranie głosu;</w:t>
      </w:r>
    </w:p>
    <w:p w14:paraId="7E81295C">
      <w:pPr>
        <w:pStyle w:val="26"/>
        <w:rPr>
          <w:sz w:val="22"/>
        </w:rPr>
      </w:pPr>
      <w:r>
        <w:rPr>
          <w:sz w:val="22"/>
        </w:rPr>
        <w:t>udziału i osiągnięć z zajęć „edukacja zdrowotna – zdrowie seksualne”.</w:t>
      </w:r>
    </w:p>
    <w:tbl>
      <w:tblPr>
        <w:tblStyle w:val="12"/>
        <w:tblW w:w="9979" w:type="dxa"/>
        <w:jc w:val="center"/>
        <w:tblLayout w:type="fixed"/>
        <w:tblCellMar>
          <w:top w:w="0" w:type="dxa"/>
          <w:left w:w="108" w:type="dxa"/>
          <w:bottom w:w="0" w:type="dxa"/>
          <w:right w:w="108" w:type="dxa"/>
        </w:tblCellMar>
      </w:tblPr>
      <w:tblGrid>
        <w:gridCol w:w="9979"/>
      </w:tblGrid>
      <w:tr w14:paraId="7E81295F">
        <w:tblPrEx>
          <w:tblCellMar>
            <w:top w:w="0" w:type="dxa"/>
            <w:left w:w="108" w:type="dxa"/>
            <w:bottom w:w="0" w:type="dxa"/>
            <w:right w:w="108" w:type="dxa"/>
          </w:tblCellMar>
        </w:tblPrEx>
        <w:trPr>
          <w:jc w:val="center"/>
        </w:trPr>
        <w:tc>
          <w:tcPr>
            <w:tcW w:w="9979" w:type="dxa"/>
            <w:tcBorders>
              <w:top w:val="single" w:color="000000" w:sz="8" w:space="0"/>
              <w:left w:val="single" w:color="000000" w:sz="8" w:space="0"/>
              <w:bottom w:val="single" w:color="000000" w:sz="8" w:space="0"/>
              <w:right w:val="single" w:color="000000" w:sz="8" w:space="0"/>
            </w:tcBorders>
          </w:tcPr>
          <w:p w14:paraId="7E81295D">
            <w:pPr>
              <w:spacing w:after="40"/>
              <w:rPr>
                <w:sz w:val="22"/>
              </w:rPr>
            </w:pPr>
            <w:r>
              <w:rPr>
                <w:b/>
                <w:sz w:val="22"/>
              </w:rPr>
              <w:t>Prywatność i bezpieczeństwo</w:t>
            </w:r>
          </w:p>
          <w:p w14:paraId="7E81295E">
            <w:pPr>
              <w:spacing w:after="0"/>
              <w:rPr>
                <w:sz w:val="22"/>
              </w:rPr>
            </w:pPr>
            <w:r>
              <w:rPr>
                <w:sz w:val="22"/>
              </w:rPr>
              <w:t>Uczeń może analizować przypadek fikcyjny lub zanonimizowany. Jeżeli doświadczenie edukacyjne wymaga autorefleksji albo monitorowania własnych zachowań, nauczyciel ocenia proces, poprawność metody i wnioski, a nie prywatne dane. Uczeń nie musi prezentować dzienniczka ani szczegółów osobistych na forum klasy.</w:t>
            </w:r>
          </w:p>
        </w:tc>
      </w:tr>
    </w:tbl>
    <w:p w14:paraId="7E812960">
      <w:pPr>
        <w:spacing w:after="0"/>
        <w:rPr>
          <w:sz w:val="22"/>
        </w:rPr>
      </w:pPr>
    </w:p>
    <w:p w14:paraId="03A75884">
      <w:pPr>
        <w:pStyle w:val="2"/>
        <w:spacing w:before="0"/>
        <w:rPr>
          <w:sz w:val="22"/>
          <w:szCs w:val="22"/>
        </w:rPr>
      </w:pPr>
    </w:p>
    <w:p w14:paraId="7E812961">
      <w:pPr>
        <w:pStyle w:val="2"/>
        <w:spacing w:before="0"/>
        <w:rPr>
          <w:rFonts w:ascii="Calibri" w:hAnsi="Calibri"/>
          <w:sz w:val="22"/>
          <w:szCs w:val="22"/>
        </w:rPr>
      </w:pPr>
      <w:r>
        <w:rPr>
          <w:sz w:val="22"/>
          <w:szCs w:val="22"/>
        </w:rPr>
        <w:t>3. Sposoby sprawdzania osiągnięć</w:t>
      </w:r>
    </w:p>
    <w:tbl>
      <w:tblPr>
        <w:tblStyle w:val="12"/>
        <w:tblW w:w="9979" w:type="dxa"/>
        <w:jc w:val="center"/>
        <w:tblLayout w:type="fixed"/>
        <w:tblCellMar>
          <w:top w:w="80" w:type="dxa"/>
          <w:left w:w="100" w:type="dxa"/>
          <w:bottom w:w="80" w:type="dxa"/>
          <w:right w:w="100" w:type="dxa"/>
        </w:tblCellMar>
      </w:tblPr>
      <w:tblGrid>
        <w:gridCol w:w="3326"/>
        <w:gridCol w:w="3326"/>
        <w:gridCol w:w="3327"/>
      </w:tblGrid>
      <w:tr w14:paraId="7E812966">
        <w:tblPrEx>
          <w:tblCellMar>
            <w:top w:w="80" w:type="dxa"/>
            <w:left w:w="100" w:type="dxa"/>
            <w:bottom w:w="80" w:type="dxa"/>
            <w:right w:w="100" w:type="dxa"/>
          </w:tblCellMar>
        </w:tblPrEx>
        <w:trPr>
          <w:tblHeader/>
          <w:jc w:val="center"/>
        </w:trPr>
        <w:tc>
          <w:tcPr>
            <w:tcW w:w="3326" w:type="dxa"/>
            <w:tcBorders>
              <w:top w:val="single" w:color="000000" w:sz="6" w:space="0"/>
              <w:left w:val="single" w:color="000000" w:sz="6" w:space="0"/>
              <w:bottom w:val="single" w:color="000000" w:sz="6" w:space="0"/>
              <w:right w:val="single" w:color="000000" w:sz="6" w:space="0"/>
            </w:tcBorders>
            <w:shd w:val="clear" w:color="auto" w:fill="D9EAD3"/>
            <w:vAlign w:val="center"/>
          </w:tcPr>
          <w:p w14:paraId="7E812963">
            <w:pPr>
              <w:spacing w:after="0"/>
              <w:rPr>
                <w:sz w:val="22"/>
              </w:rPr>
            </w:pPr>
            <w:r>
              <w:rPr>
                <w:b/>
                <w:sz w:val="22"/>
              </w:rPr>
              <w:t>Forma</w:t>
            </w:r>
          </w:p>
        </w:tc>
        <w:tc>
          <w:tcPr>
            <w:tcW w:w="3326" w:type="dxa"/>
            <w:tcBorders>
              <w:top w:val="single" w:color="000000" w:sz="6" w:space="0"/>
              <w:left w:val="single" w:color="000000" w:sz="6" w:space="0"/>
              <w:bottom w:val="single" w:color="000000" w:sz="6" w:space="0"/>
              <w:right w:val="single" w:color="000000" w:sz="6" w:space="0"/>
            </w:tcBorders>
            <w:shd w:val="clear" w:color="auto" w:fill="D9EAD3"/>
            <w:vAlign w:val="center"/>
          </w:tcPr>
          <w:p w14:paraId="7E812964">
            <w:pPr>
              <w:spacing w:after="0"/>
              <w:rPr>
                <w:sz w:val="22"/>
              </w:rPr>
            </w:pPr>
            <w:r>
              <w:rPr>
                <w:b/>
                <w:sz w:val="22"/>
              </w:rPr>
              <w:t>Co może być oceniane</w:t>
            </w:r>
          </w:p>
        </w:tc>
        <w:tc>
          <w:tcPr>
            <w:tcW w:w="3327" w:type="dxa"/>
            <w:tcBorders>
              <w:top w:val="single" w:color="000000" w:sz="6" w:space="0"/>
              <w:left w:val="single" w:color="000000" w:sz="6" w:space="0"/>
              <w:bottom w:val="single" w:color="000000" w:sz="6" w:space="0"/>
              <w:right w:val="single" w:color="000000" w:sz="6" w:space="0"/>
            </w:tcBorders>
            <w:shd w:val="clear" w:color="auto" w:fill="D9EAD3"/>
            <w:vAlign w:val="center"/>
          </w:tcPr>
          <w:p w14:paraId="7E812965">
            <w:pPr>
              <w:spacing w:after="0"/>
              <w:rPr>
                <w:sz w:val="22"/>
              </w:rPr>
            </w:pPr>
            <w:r>
              <w:rPr>
                <w:b/>
                <w:sz w:val="22"/>
              </w:rPr>
              <w:t>Warunek bezpieczeństwa</w:t>
            </w:r>
          </w:p>
        </w:tc>
      </w:tr>
      <w:tr w14:paraId="7E81296A">
        <w:tblPrEx>
          <w:tblCellMar>
            <w:top w:w="80" w:type="dxa"/>
            <w:left w:w="100" w:type="dxa"/>
            <w:bottom w:w="80" w:type="dxa"/>
            <w:right w:w="100" w:type="dxa"/>
          </w:tblCellMar>
        </w:tblPrEx>
        <w:trPr>
          <w:jc w:val="center"/>
        </w:trPr>
        <w:tc>
          <w:tcPr>
            <w:tcW w:w="3326"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7E812967">
            <w:pPr>
              <w:spacing w:after="0"/>
              <w:rPr>
                <w:sz w:val="22"/>
              </w:rPr>
            </w:pPr>
            <w:r>
              <w:rPr>
                <w:sz w:val="22"/>
              </w:rPr>
              <w:t>Krótka praca pisemna / quiz</w:t>
            </w:r>
          </w:p>
        </w:tc>
        <w:tc>
          <w:tcPr>
            <w:tcW w:w="3326"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7E812968">
            <w:pPr>
              <w:spacing w:after="0"/>
              <w:rPr>
                <w:sz w:val="22"/>
              </w:rPr>
            </w:pPr>
            <w:r>
              <w:rPr>
                <w:sz w:val="22"/>
              </w:rPr>
              <w:t>wiedza, rozumienie pojęć, zastosowanie zasad</w:t>
            </w:r>
          </w:p>
        </w:tc>
        <w:tc>
          <w:tcPr>
            <w:tcW w:w="3327"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7E812969">
            <w:pPr>
              <w:spacing w:after="0"/>
              <w:rPr>
                <w:sz w:val="22"/>
              </w:rPr>
            </w:pPr>
            <w:r>
              <w:rPr>
                <w:sz w:val="22"/>
              </w:rPr>
              <w:t>pytania nie wymagają ujawniania prywatnych doświadczeń</w:t>
            </w:r>
          </w:p>
        </w:tc>
      </w:tr>
      <w:tr w14:paraId="7E81296E">
        <w:tblPrEx>
          <w:tblCellMar>
            <w:top w:w="80" w:type="dxa"/>
            <w:left w:w="100" w:type="dxa"/>
            <w:bottom w:w="80" w:type="dxa"/>
            <w:right w:w="100" w:type="dxa"/>
          </w:tblCellMar>
        </w:tblPrEx>
        <w:trPr>
          <w:jc w:val="center"/>
        </w:trPr>
        <w:tc>
          <w:tcPr>
            <w:tcW w:w="3326"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7E81296B">
            <w:pPr>
              <w:spacing w:after="0"/>
              <w:rPr>
                <w:sz w:val="22"/>
              </w:rPr>
            </w:pPr>
            <w:r>
              <w:rPr>
                <w:sz w:val="22"/>
              </w:rPr>
              <w:t>Studium przypadku</w:t>
            </w:r>
          </w:p>
        </w:tc>
        <w:tc>
          <w:tcPr>
            <w:tcW w:w="3326"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7E81296C">
            <w:pPr>
              <w:spacing w:after="0"/>
              <w:rPr>
                <w:sz w:val="22"/>
              </w:rPr>
            </w:pPr>
            <w:r>
              <w:rPr>
                <w:sz w:val="22"/>
              </w:rPr>
              <w:t>analiza ryzyka, decyzja, uzasadnienie, wskazanie pomocy</w:t>
            </w:r>
          </w:p>
        </w:tc>
        <w:tc>
          <w:tcPr>
            <w:tcW w:w="3327"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7E81296D">
            <w:pPr>
              <w:spacing w:after="0"/>
              <w:rPr>
                <w:sz w:val="22"/>
              </w:rPr>
            </w:pPr>
            <w:r>
              <w:rPr>
                <w:sz w:val="22"/>
              </w:rPr>
              <w:t>przypadek fikcyjny lub zanonimizowany</w:t>
            </w:r>
          </w:p>
        </w:tc>
      </w:tr>
      <w:tr w14:paraId="7E812972">
        <w:tblPrEx>
          <w:tblCellMar>
            <w:top w:w="80" w:type="dxa"/>
            <w:left w:w="100" w:type="dxa"/>
            <w:bottom w:w="80" w:type="dxa"/>
            <w:right w:w="100" w:type="dxa"/>
          </w:tblCellMar>
        </w:tblPrEx>
        <w:trPr>
          <w:jc w:val="center"/>
        </w:trPr>
        <w:tc>
          <w:tcPr>
            <w:tcW w:w="3326"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7E81296F">
            <w:pPr>
              <w:spacing w:after="0"/>
              <w:rPr>
                <w:sz w:val="22"/>
              </w:rPr>
            </w:pPr>
            <w:r>
              <w:rPr>
                <w:sz w:val="22"/>
              </w:rPr>
              <w:t>Zadanie praktyczne / symulacja</w:t>
            </w:r>
          </w:p>
        </w:tc>
        <w:tc>
          <w:tcPr>
            <w:tcW w:w="3326"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7E812970">
            <w:pPr>
              <w:spacing w:after="0"/>
              <w:rPr>
                <w:sz w:val="22"/>
              </w:rPr>
            </w:pPr>
            <w:r>
              <w:rPr>
                <w:sz w:val="22"/>
              </w:rPr>
              <w:t>procedura, bezpieczeństwo, dobór działania</w:t>
            </w:r>
          </w:p>
        </w:tc>
        <w:tc>
          <w:tcPr>
            <w:tcW w:w="3327"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7E812971">
            <w:pPr>
              <w:spacing w:after="0"/>
              <w:rPr>
                <w:sz w:val="22"/>
              </w:rPr>
            </w:pPr>
            <w:r>
              <w:rPr>
                <w:sz w:val="22"/>
              </w:rPr>
              <w:t>bez pozorowania intymnych sytuacji i bez diagnozowania</w:t>
            </w:r>
          </w:p>
        </w:tc>
      </w:tr>
      <w:tr w14:paraId="7E812976">
        <w:tblPrEx>
          <w:tblCellMar>
            <w:top w:w="80" w:type="dxa"/>
            <w:left w:w="100" w:type="dxa"/>
            <w:bottom w:w="80" w:type="dxa"/>
            <w:right w:w="100" w:type="dxa"/>
          </w:tblCellMar>
        </w:tblPrEx>
        <w:trPr>
          <w:jc w:val="center"/>
        </w:trPr>
        <w:tc>
          <w:tcPr>
            <w:tcW w:w="3326"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7E812973">
            <w:pPr>
              <w:spacing w:after="0"/>
              <w:rPr>
                <w:sz w:val="22"/>
              </w:rPr>
            </w:pPr>
            <w:r>
              <w:rPr>
                <w:sz w:val="22"/>
              </w:rPr>
              <w:t>Analiza źródła lub danych</w:t>
            </w:r>
          </w:p>
        </w:tc>
        <w:tc>
          <w:tcPr>
            <w:tcW w:w="3326"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7E812974">
            <w:pPr>
              <w:spacing w:after="0"/>
              <w:rPr>
                <w:sz w:val="22"/>
              </w:rPr>
            </w:pPr>
            <w:r>
              <w:rPr>
                <w:sz w:val="22"/>
              </w:rPr>
              <w:t>wiarygodność, fakty, wnioski, dezinformacja</w:t>
            </w:r>
          </w:p>
        </w:tc>
        <w:tc>
          <w:tcPr>
            <w:tcW w:w="3327"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7E812975">
            <w:pPr>
              <w:spacing w:after="0"/>
              <w:rPr>
                <w:sz w:val="22"/>
              </w:rPr>
            </w:pPr>
            <w:r>
              <w:rPr>
                <w:sz w:val="22"/>
              </w:rPr>
              <w:t>materiał odpowiedni do wieku i sprawdzony przez nauczyciela</w:t>
            </w:r>
          </w:p>
        </w:tc>
      </w:tr>
      <w:tr w14:paraId="7E81297A">
        <w:tblPrEx>
          <w:tblCellMar>
            <w:top w:w="80" w:type="dxa"/>
            <w:left w:w="100" w:type="dxa"/>
            <w:bottom w:w="80" w:type="dxa"/>
            <w:right w:w="100" w:type="dxa"/>
          </w:tblCellMar>
        </w:tblPrEx>
        <w:trPr>
          <w:jc w:val="center"/>
        </w:trPr>
        <w:tc>
          <w:tcPr>
            <w:tcW w:w="3326"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7E812977">
            <w:pPr>
              <w:spacing w:after="0"/>
              <w:rPr>
                <w:sz w:val="22"/>
              </w:rPr>
            </w:pPr>
            <w:r>
              <w:rPr>
                <w:sz w:val="22"/>
              </w:rPr>
              <w:t>Projekt / prezentacja / debata</w:t>
            </w:r>
          </w:p>
        </w:tc>
        <w:tc>
          <w:tcPr>
            <w:tcW w:w="3326"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7E812978">
            <w:pPr>
              <w:spacing w:after="0"/>
              <w:rPr>
                <w:sz w:val="22"/>
              </w:rPr>
            </w:pPr>
            <w:r>
              <w:rPr>
                <w:sz w:val="22"/>
              </w:rPr>
              <w:t>merytoryka, źródła, rozwiązanie, komunikacja</w:t>
            </w:r>
          </w:p>
        </w:tc>
        <w:tc>
          <w:tcPr>
            <w:tcW w:w="3327"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7E812979">
            <w:pPr>
              <w:spacing w:after="0"/>
              <w:rPr>
                <w:sz w:val="22"/>
              </w:rPr>
            </w:pPr>
            <w:r>
              <w:rPr>
                <w:sz w:val="22"/>
              </w:rPr>
              <w:t>ocenie podlega wkład możliwy do udokumentowania</w:t>
            </w:r>
          </w:p>
        </w:tc>
      </w:tr>
      <w:tr w14:paraId="7E81297E">
        <w:tblPrEx>
          <w:tblCellMar>
            <w:top w:w="80" w:type="dxa"/>
            <w:left w:w="100" w:type="dxa"/>
            <w:bottom w:w="80" w:type="dxa"/>
            <w:right w:w="100" w:type="dxa"/>
          </w:tblCellMar>
        </w:tblPrEx>
        <w:trPr>
          <w:jc w:val="center"/>
        </w:trPr>
        <w:tc>
          <w:tcPr>
            <w:tcW w:w="3326"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7E81297B">
            <w:pPr>
              <w:spacing w:after="0"/>
              <w:rPr>
                <w:sz w:val="22"/>
              </w:rPr>
            </w:pPr>
            <w:r>
              <w:rPr>
                <w:sz w:val="22"/>
              </w:rPr>
              <w:t>Doświadczenie edukacyjne</w:t>
            </w:r>
          </w:p>
        </w:tc>
        <w:tc>
          <w:tcPr>
            <w:tcW w:w="3326"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7E81297C">
            <w:pPr>
              <w:spacing w:after="0"/>
              <w:rPr>
                <w:sz w:val="22"/>
              </w:rPr>
            </w:pPr>
            <w:r>
              <w:rPr>
                <w:sz w:val="22"/>
              </w:rPr>
              <w:t>plan, wykonanie, refleksja i zastosowanie</w:t>
            </w:r>
          </w:p>
        </w:tc>
        <w:tc>
          <w:tcPr>
            <w:tcW w:w="3327"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7E81297D">
            <w:pPr>
              <w:spacing w:after="0"/>
              <w:rPr>
                <w:sz w:val="22"/>
              </w:rPr>
            </w:pPr>
            <w:r>
              <w:rPr>
                <w:sz w:val="22"/>
              </w:rPr>
              <w:t>zasadnicza część oceniana w warunkach szkolnych</w:t>
            </w:r>
          </w:p>
        </w:tc>
      </w:tr>
      <w:tr w14:paraId="7E812982">
        <w:tblPrEx>
          <w:tblCellMar>
            <w:top w:w="80" w:type="dxa"/>
            <w:left w:w="100" w:type="dxa"/>
            <w:bottom w:w="80" w:type="dxa"/>
            <w:right w:w="100" w:type="dxa"/>
          </w:tblCellMar>
        </w:tblPrEx>
        <w:trPr>
          <w:jc w:val="center"/>
        </w:trPr>
        <w:tc>
          <w:tcPr>
            <w:tcW w:w="3326"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7E81297F">
            <w:pPr>
              <w:spacing w:after="0"/>
              <w:rPr>
                <w:sz w:val="22"/>
              </w:rPr>
            </w:pPr>
            <w:r>
              <w:rPr>
                <w:sz w:val="22"/>
              </w:rPr>
              <w:t>Odpowiedź ustna</w:t>
            </w:r>
          </w:p>
        </w:tc>
        <w:tc>
          <w:tcPr>
            <w:tcW w:w="3326"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7E812980">
            <w:pPr>
              <w:spacing w:after="0"/>
              <w:rPr>
                <w:sz w:val="22"/>
              </w:rPr>
            </w:pPr>
            <w:r>
              <w:rPr>
                <w:sz w:val="22"/>
              </w:rPr>
              <w:t>wyjaśnienie i rozumowanie na podstawie materiału</w:t>
            </w:r>
          </w:p>
        </w:tc>
        <w:tc>
          <w:tcPr>
            <w:tcW w:w="3327"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7E812981">
            <w:pPr>
              <w:spacing w:after="0"/>
              <w:rPr>
                <w:sz w:val="22"/>
              </w:rPr>
            </w:pPr>
            <w:r>
              <w:rPr>
                <w:sz w:val="22"/>
              </w:rPr>
              <w:t>uczeń może odmówić osobistego przykładu bez konsekwencji</w:t>
            </w:r>
          </w:p>
        </w:tc>
      </w:tr>
    </w:tbl>
    <w:p w14:paraId="7E812983">
      <w:pPr>
        <w:pStyle w:val="3"/>
        <w:rPr>
          <w:rFonts w:ascii="Calibri" w:hAnsi="Calibri"/>
          <w:sz w:val="22"/>
          <w:szCs w:val="22"/>
        </w:rPr>
      </w:pPr>
      <w:r>
        <w:rPr>
          <w:sz w:val="22"/>
          <w:szCs w:val="22"/>
        </w:rPr>
        <w:t>Prace domowe w klasach IV–VIII</w:t>
      </w:r>
    </w:p>
    <w:p w14:paraId="7E812984">
      <w:pPr>
        <w:rPr>
          <w:sz w:val="22"/>
        </w:rPr>
      </w:pPr>
      <w:r>
        <w:rPr>
          <w:b/>
          <w:sz w:val="22"/>
        </w:rPr>
        <w:t xml:space="preserve">Pisemna lub praktyczno-techniczna praca domowa jest nieobowiązkowa i nie ustala się z niej oceny. </w:t>
      </w:r>
      <w:r>
        <w:rPr>
          <w:sz w:val="22"/>
        </w:rPr>
        <w:t>Nauczyciel sprawdza dobrowolnie wykonaną pracę i przekazuje informację zwrotną. Jeżeli projekt lub doświadczenie edukacyjne ma być ocenione, jego zasadnicza, podlegająca weryfikacji część powinna zostać wykonana podczas zajęć, konsultacji lub innej zorganizowanej formy szkolnej. Sam brak wykonania pracy w czasie wolnym nie może obniżyć oceny.</w:t>
      </w:r>
    </w:p>
    <w:p w14:paraId="7E812985">
      <w:pPr>
        <w:pStyle w:val="2"/>
        <w:spacing w:before="0"/>
        <w:rPr>
          <w:rFonts w:ascii="Calibri" w:hAnsi="Calibri"/>
          <w:sz w:val="22"/>
          <w:szCs w:val="22"/>
        </w:rPr>
      </w:pPr>
      <w:r>
        <w:rPr>
          <w:sz w:val="22"/>
          <w:szCs w:val="22"/>
        </w:rPr>
        <w:t>4. Ogólne kryteria ocen klasyfikacyjnych</w:t>
      </w:r>
    </w:p>
    <w:p w14:paraId="7E812986">
      <w:pPr>
        <w:rPr>
          <w:sz w:val="22"/>
        </w:rPr>
      </w:pPr>
      <w:r>
        <w:rPr>
          <w:b/>
          <w:sz w:val="22"/>
        </w:rPr>
        <w:t xml:space="preserve">Kryteria mają charakter kumulatywny. </w:t>
      </w:r>
      <w:r>
        <w:rPr>
          <w:sz w:val="22"/>
        </w:rPr>
        <w:t>Uczeń ubiegający się o wyższą ocenę spełnia również wymagania poziomów niższych. Ocenę klasyfikacyjną ustala się na podstawie całokształtu udokumentowanych osiągnięć, a nie wyłącznie średniej arytmetycznej. Przepisy krajowe nie narzucają wag ocen ani progów procentowych.</w:t>
      </w:r>
    </w:p>
    <w:tbl>
      <w:tblPr>
        <w:tblStyle w:val="12"/>
        <w:tblW w:w="9979" w:type="dxa"/>
        <w:jc w:val="center"/>
        <w:tblLayout w:type="fixed"/>
        <w:tblCellMar>
          <w:top w:w="0" w:type="dxa"/>
          <w:left w:w="108" w:type="dxa"/>
          <w:bottom w:w="0" w:type="dxa"/>
          <w:right w:w="108" w:type="dxa"/>
        </w:tblCellMar>
      </w:tblPr>
      <w:tblGrid>
        <w:gridCol w:w="4989"/>
        <w:gridCol w:w="4990"/>
      </w:tblGrid>
      <w:tr w14:paraId="7E812989">
        <w:tblPrEx>
          <w:tblCellMar>
            <w:top w:w="0" w:type="dxa"/>
            <w:left w:w="108" w:type="dxa"/>
            <w:bottom w:w="0" w:type="dxa"/>
            <w:right w:w="108" w:type="dxa"/>
          </w:tblCellMar>
        </w:tblPrEx>
        <w:trPr>
          <w:tblHeader/>
          <w:jc w:val="center"/>
        </w:trPr>
        <w:tc>
          <w:tcPr>
            <w:tcW w:w="4989"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7E812987">
            <w:pPr>
              <w:spacing w:after="0"/>
              <w:rPr>
                <w:sz w:val="22"/>
              </w:rPr>
            </w:pPr>
            <w:r>
              <w:rPr>
                <w:b/>
                <w:sz w:val="22"/>
              </w:rPr>
              <w:t>Ocena</w:t>
            </w:r>
          </w:p>
        </w:tc>
        <w:tc>
          <w:tcPr>
            <w:tcW w:w="4990"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7E812988">
            <w:pPr>
              <w:spacing w:after="0"/>
              <w:rPr>
                <w:sz w:val="22"/>
              </w:rPr>
            </w:pPr>
            <w:r>
              <w:rPr>
                <w:b/>
                <w:sz w:val="22"/>
              </w:rPr>
              <w:t>Ogólna charakterystyka poziomu</w:t>
            </w:r>
          </w:p>
        </w:tc>
      </w:tr>
      <w:tr w14:paraId="7E81298C">
        <w:tblPrEx>
          <w:tblCellMar>
            <w:top w:w="0" w:type="dxa"/>
            <w:left w:w="108" w:type="dxa"/>
            <w:bottom w:w="0" w:type="dxa"/>
            <w:right w:w="108" w:type="dxa"/>
          </w:tblCellMar>
        </w:tblPrEx>
        <w:trPr>
          <w:jc w:val="center"/>
        </w:trPr>
        <w:tc>
          <w:tcPr>
            <w:tcW w:w="4989"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7E81298A">
            <w:pPr>
              <w:spacing w:after="0"/>
              <w:rPr>
                <w:sz w:val="22"/>
              </w:rPr>
            </w:pPr>
            <w:r>
              <w:rPr>
                <w:b/>
                <w:sz w:val="22"/>
              </w:rPr>
              <w:t>6 – celujący</w:t>
            </w:r>
          </w:p>
        </w:tc>
        <w:tc>
          <w:tcPr>
            <w:tcW w:w="4990"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7E81298B">
            <w:pPr>
              <w:spacing w:after="0"/>
              <w:rPr>
                <w:sz w:val="22"/>
              </w:rPr>
            </w:pPr>
            <w:r>
              <w:rPr>
                <w:sz w:val="22"/>
              </w:rPr>
              <w:t>Uczeń opanował wymagania w bardzo wysokim stopniu, samodzielnie łączy wiedzę, przenosi ją na nowe sytuacje, krytycznie ocenia źródła i tworzy trafne rozwiązania. Ocena 6 nie wymaga wiadomości wykraczających poza program.</w:t>
            </w:r>
          </w:p>
        </w:tc>
      </w:tr>
      <w:tr w14:paraId="7E81298F">
        <w:tblPrEx>
          <w:tblCellMar>
            <w:top w:w="0" w:type="dxa"/>
            <w:left w:w="108" w:type="dxa"/>
            <w:bottom w:w="0" w:type="dxa"/>
            <w:right w:w="108" w:type="dxa"/>
          </w:tblCellMar>
        </w:tblPrEx>
        <w:trPr>
          <w:jc w:val="center"/>
        </w:trPr>
        <w:tc>
          <w:tcPr>
            <w:tcW w:w="4989"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7E81298D">
            <w:pPr>
              <w:spacing w:after="0"/>
              <w:rPr>
                <w:sz w:val="22"/>
              </w:rPr>
            </w:pPr>
            <w:r>
              <w:rPr>
                <w:b/>
                <w:sz w:val="22"/>
              </w:rPr>
              <w:t>5 – bardzo dobry</w:t>
            </w:r>
          </w:p>
        </w:tc>
        <w:tc>
          <w:tcPr>
            <w:tcW w:w="4990"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7E81298E">
            <w:pPr>
              <w:spacing w:after="0"/>
              <w:rPr>
                <w:sz w:val="22"/>
              </w:rPr>
            </w:pPr>
            <w:r>
              <w:rPr>
                <w:sz w:val="22"/>
              </w:rPr>
              <w:t>Uczeń bardzo dobrze opanował wiadomości i umiejętności, samodzielnie je stosuje, uzasadnia wnioski i poprawnie rozwiązuje także bardziej złożone zadania.</w:t>
            </w:r>
          </w:p>
        </w:tc>
      </w:tr>
      <w:tr w14:paraId="7E812992">
        <w:tblPrEx>
          <w:tblCellMar>
            <w:top w:w="0" w:type="dxa"/>
            <w:left w:w="108" w:type="dxa"/>
            <w:bottom w:w="0" w:type="dxa"/>
            <w:right w:w="108" w:type="dxa"/>
          </w:tblCellMar>
        </w:tblPrEx>
        <w:trPr>
          <w:jc w:val="center"/>
        </w:trPr>
        <w:tc>
          <w:tcPr>
            <w:tcW w:w="4989"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7E812990">
            <w:pPr>
              <w:spacing w:after="0"/>
              <w:rPr>
                <w:sz w:val="22"/>
              </w:rPr>
            </w:pPr>
            <w:r>
              <w:rPr>
                <w:b/>
                <w:sz w:val="22"/>
              </w:rPr>
              <w:t>4 – dobry</w:t>
            </w:r>
          </w:p>
        </w:tc>
        <w:tc>
          <w:tcPr>
            <w:tcW w:w="4990"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7E812991">
            <w:pPr>
              <w:spacing w:after="0"/>
              <w:rPr>
                <w:sz w:val="22"/>
              </w:rPr>
            </w:pPr>
            <w:r>
              <w:rPr>
                <w:sz w:val="22"/>
              </w:rPr>
              <w:t>Uczeń opanował większość wymagań, samodzielnie rozwiązuje zadania typowe i stosuje wiedzę w sytuacjach praktycznych; potrzebuje jedynie niewielkiego wsparcia.</w:t>
            </w:r>
          </w:p>
        </w:tc>
      </w:tr>
      <w:tr w14:paraId="7E812995">
        <w:tblPrEx>
          <w:tblCellMar>
            <w:top w:w="0" w:type="dxa"/>
            <w:left w:w="108" w:type="dxa"/>
            <w:bottom w:w="0" w:type="dxa"/>
            <w:right w:w="108" w:type="dxa"/>
          </w:tblCellMar>
        </w:tblPrEx>
        <w:trPr>
          <w:jc w:val="center"/>
        </w:trPr>
        <w:tc>
          <w:tcPr>
            <w:tcW w:w="4989"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7E812993">
            <w:pPr>
              <w:spacing w:after="0"/>
              <w:rPr>
                <w:sz w:val="22"/>
              </w:rPr>
            </w:pPr>
            <w:r>
              <w:rPr>
                <w:b/>
                <w:sz w:val="22"/>
              </w:rPr>
              <w:t>3 – dostateczny</w:t>
            </w:r>
          </w:p>
        </w:tc>
        <w:tc>
          <w:tcPr>
            <w:tcW w:w="4990"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7E812994">
            <w:pPr>
              <w:spacing w:after="0"/>
              <w:rPr>
                <w:sz w:val="22"/>
              </w:rPr>
            </w:pPr>
            <w:r>
              <w:rPr>
                <w:sz w:val="22"/>
              </w:rPr>
              <w:t>Uczeń opanował podstawowe wiadomości i umiejętności, rozwiązuje zadania typowe, a przy trudniejszych korzysta ze wskazówek nauczyciela.</w:t>
            </w:r>
          </w:p>
        </w:tc>
      </w:tr>
      <w:tr w14:paraId="7E812998">
        <w:tblPrEx>
          <w:tblCellMar>
            <w:top w:w="0" w:type="dxa"/>
            <w:left w:w="108" w:type="dxa"/>
            <w:bottom w:w="0" w:type="dxa"/>
            <w:right w:w="108" w:type="dxa"/>
          </w:tblCellMar>
        </w:tblPrEx>
        <w:trPr>
          <w:jc w:val="center"/>
        </w:trPr>
        <w:tc>
          <w:tcPr>
            <w:tcW w:w="4989"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7E812996">
            <w:pPr>
              <w:spacing w:after="0"/>
              <w:rPr>
                <w:sz w:val="22"/>
              </w:rPr>
            </w:pPr>
            <w:r>
              <w:rPr>
                <w:b/>
                <w:sz w:val="22"/>
              </w:rPr>
              <w:t>2 – dopuszczający</w:t>
            </w:r>
          </w:p>
        </w:tc>
        <w:tc>
          <w:tcPr>
            <w:tcW w:w="4990"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7E812997">
            <w:pPr>
              <w:spacing w:after="0"/>
              <w:rPr>
                <w:sz w:val="22"/>
              </w:rPr>
            </w:pPr>
            <w:r>
              <w:rPr>
                <w:sz w:val="22"/>
              </w:rPr>
              <w:t>Uczeń spełnia minimum niezbędne do dalszego uczenia się; z pomocą rozpoznaje podstawowe zasady, wykonuje proste zadania i stosuje najważniejsze procedury bezpieczeństwa.</w:t>
            </w:r>
          </w:p>
        </w:tc>
      </w:tr>
      <w:tr w14:paraId="7E81299B">
        <w:tblPrEx>
          <w:tblCellMar>
            <w:top w:w="0" w:type="dxa"/>
            <w:left w:w="108" w:type="dxa"/>
            <w:bottom w:w="0" w:type="dxa"/>
            <w:right w:w="108" w:type="dxa"/>
          </w:tblCellMar>
        </w:tblPrEx>
        <w:trPr>
          <w:jc w:val="center"/>
        </w:trPr>
        <w:tc>
          <w:tcPr>
            <w:tcW w:w="4989"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7E812999">
            <w:pPr>
              <w:spacing w:after="0"/>
              <w:rPr>
                <w:sz w:val="22"/>
              </w:rPr>
            </w:pPr>
            <w:r>
              <w:rPr>
                <w:b/>
                <w:sz w:val="22"/>
              </w:rPr>
              <w:t>1 – niedostateczny</w:t>
            </w:r>
          </w:p>
        </w:tc>
        <w:tc>
          <w:tcPr>
            <w:tcW w:w="4990"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7E81299A">
            <w:pPr>
              <w:spacing w:after="0"/>
              <w:rPr>
                <w:sz w:val="22"/>
              </w:rPr>
            </w:pPr>
            <w:r>
              <w:rPr>
                <w:sz w:val="22"/>
              </w:rPr>
              <w:t>Uczeń nie spełnia wymagań koniecznych nawet przy zapewnionym wsparciu i nie potrafi wykonać najprostszego zadania dotyczącego ocenianych wiadomości lub umiejętności. Oceny 1 nie wolno uzasadniać odmową ujawnienia prywatnych doświadczeń ani stanem zdrowia ucznia.</w:t>
            </w:r>
          </w:p>
        </w:tc>
      </w:tr>
      <w:tr w14:paraId="7E81299E">
        <w:tblPrEx>
          <w:tblCellMar>
            <w:top w:w="0" w:type="dxa"/>
            <w:left w:w="108" w:type="dxa"/>
            <w:bottom w:w="0" w:type="dxa"/>
            <w:right w:w="108" w:type="dxa"/>
          </w:tblCellMar>
        </w:tblPrEx>
        <w:trPr>
          <w:jc w:val="center"/>
        </w:trPr>
        <w:tc>
          <w:tcPr>
            <w:tcW w:w="9979" w:type="dxa"/>
            <w:gridSpan w:val="2"/>
            <w:tcBorders>
              <w:top w:val="single" w:color="000000" w:sz="8" w:space="0"/>
              <w:left w:val="single" w:color="000000" w:sz="8" w:space="0"/>
              <w:bottom w:val="single" w:color="000000" w:sz="8" w:space="0"/>
              <w:right w:val="single" w:color="000000" w:sz="8" w:space="0"/>
            </w:tcBorders>
          </w:tcPr>
          <w:p w14:paraId="7E81299C">
            <w:pPr>
              <w:spacing w:after="40"/>
              <w:rPr>
                <w:sz w:val="22"/>
              </w:rPr>
            </w:pPr>
            <w:r>
              <w:rPr>
                <w:b/>
                <w:sz w:val="22"/>
              </w:rPr>
              <w:t>Ocena śródroczna i roczna</w:t>
            </w:r>
          </w:p>
          <w:p w14:paraId="7E81299D">
            <w:pPr>
              <w:spacing w:after="0"/>
              <w:rPr>
                <w:sz w:val="22"/>
              </w:rPr>
            </w:pPr>
            <w:r>
              <w:rPr>
                <w:sz w:val="22"/>
              </w:rPr>
              <w:t>Powinna podsumowywać poziom i postępy ucznia względem rocznych wymagań. Nie należy jej ustalać automatycznie z jednego sprawdzianu, jednego projektu ani samej aktywności na lekcji. Warunki poprawy, uzyskania oceny wyższej niż przewidywana oraz sposób przekazywania informacji muszą być zgodne ze statutem szkoły.</w:t>
            </w:r>
          </w:p>
        </w:tc>
      </w:tr>
    </w:tbl>
    <w:p w14:paraId="7E81299F">
      <w:pPr>
        <w:spacing w:after="0"/>
        <w:rPr>
          <w:sz w:val="22"/>
        </w:rPr>
      </w:pPr>
    </w:p>
    <w:p w14:paraId="7E8129A0">
      <w:pPr>
        <w:pStyle w:val="2"/>
        <w:spacing w:before="0"/>
        <w:rPr>
          <w:rFonts w:ascii="Calibri" w:hAnsi="Calibri"/>
          <w:sz w:val="22"/>
          <w:szCs w:val="22"/>
        </w:rPr>
      </w:pPr>
      <w:r>
        <w:rPr>
          <w:sz w:val="22"/>
          <w:szCs w:val="22"/>
        </w:rPr>
        <w:t>5. Szczegółowe wymagania edukacyjne – klasa V</w:t>
      </w:r>
    </w:p>
    <w:p w14:paraId="7E8129A1">
      <w:pPr>
        <w:rPr>
          <w:sz w:val="22"/>
        </w:rPr>
      </w:pPr>
      <w:r>
        <w:rPr>
          <w:b/>
          <w:sz w:val="22"/>
        </w:rPr>
        <w:t>Zakres przyjęty w dokumencie: Pogłębienie odpowiedzialności za zdrowie, profilaktyka, stres i asertywność, funkcjonowanie rodziny, dojrzewanie, zdrowie środowiskowe oraz świadome korzystanie z technologii. Wymagania klasy V wraz z wymaganiami klas IV i VI tworzą pełny cykl podstawy programowej dla klas IV–VI.</w:t>
      </w:r>
    </w:p>
    <w:p w14:paraId="7E8129A2">
      <w:pPr>
        <w:pStyle w:val="3"/>
        <w:rPr>
          <w:rFonts w:ascii="Calibri" w:hAnsi="Calibri"/>
          <w:sz w:val="22"/>
          <w:szCs w:val="22"/>
        </w:rPr>
      </w:pPr>
      <w:r>
        <w:rPr>
          <w:sz w:val="22"/>
          <w:szCs w:val="22"/>
        </w:rPr>
        <w:t>1. Wartości i postawy</w:t>
      </w:r>
    </w:p>
    <w:p w14:paraId="7E8129A3">
      <w:pPr>
        <w:pStyle w:val="26"/>
        <w:rPr>
          <w:sz w:val="22"/>
        </w:rPr>
      </w:pPr>
      <w:r>
        <w:rPr>
          <w:sz w:val="22"/>
        </w:rPr>
        <w:t>Uczeń klasyfikuje zdrowie w osobistej hierarchii wartości i uzasadnia jego znaczenie na różnych etapach życia;</w:t>
      </w:r>
    </w:p>
    <w:p w14:paraId="7E8129A4">
      <w:pPr>
        <w:pStyle w:val="26"/>
        <w:rPr>
          <w:sz w:val="22"/>
        </w:rPr>
      </w:pPr>
      <w:r>
        <w:rPr>
          <w:sz w:val="22"/>
        </w:rPr>
        <w:t>Uczeń wyjaśnia, na czym polega odpowiedzialność za własne zdrowie i zdrowie innych osób;</w:t>
      </w:r>
    </w:p>
    <w:p w14:paraId="7E8129A5">
      <w:pPr>
        <w:pStyle w:val="26"/>
        <w:rPr>
          <w:sz w:val="22"/>
        </w:rPr>
      </w:pPr>
      <w:r>
        <w:rPr>
          <w:sz w:val="22"/>
        </w:rPr>
        <w:t>Uczeń okazuje szacunek sobie, rozwija poczucie własnej wartości oraz przyjmuje perspektywę drugiego człowieka;</w:t>
      </w:r>
    </w:p>
    <w:p w14:paraId="7E8129A6">
      <w:pPr>
        <w:pStyle w:val="26"/>
        <w:rPr>
          <w:sz w:val="22"/>
        </w:rPr>
      </w:pPr>
      <w:r>
        <w:rPr>
          <w:sz w:val="22"/>
        </w:rPr>
        <w:t>Uczeń wyjaśnia, w jaki sposób optymizm, empatia i troska o przyrodę mogą wspierać zdrowie obecnych i przyszłych pokoleń.</w:t>
      </w:r>
    </w:p>
    <w:p w14:paraId="7E8129A7">
      <w:pPr>
        <w:pStyle w:val="3"/>
        <w:rPr>
          <w:rFonts w:ascii="Calibri" w:hAnsi="Calibri"/>
          <w:sz w:val="22"/>
          <w:szCs w:val="22"/>
        </w:rPr>
      </w:pPr>
      <w:r>
        <w:rPr>
          <w:sz w:val="22"/>
          <w:szCs w:val="22"/>
        </w:rPr>
        <w:t>2. Zdrowie fizyczne</w:t>
      </w:r>
    </w:p>
    <w:p w14:paraId="7E8129A8">
      <w:pPr>
        <w:pStyle w:val="26"/>
        <w:rPr>
          <w:sz w:val="22"/>
        </w:rPr>
      </w:pPr>
      <w:r>
        <w:rPr>
          <w:sz w:val="22"/>
        </w:rPr>
        <w:t>Uczeń wyjaśnia bez stygmatyzowania, czym są nadwaga i otyłość oraz na czym polega ich profilaktyka;</w:t>
      </w:r>
    </w:p>
    <w:p w14:paraId="7E8129A9">
      <w:pPr>
        <w:pStyle w:val="26"/>
        <w:rPr>
          <w:sz w:val="22"/>
        </w:rPr>
      </w:pPr>
      <w:r>
        <w:rPr>
          <w:sz w:val="22"/>
        </w:rPr>
        <w:t>Uczeń wyjaśnia znaczenie badań profilaktycznych i przesiewowych oraz pojęcie grupy ryzyka;</w:t>
      </w:r>
    </w:p>
    <w:p w14:paraId="7E8129AA">
      <w:pPr>
        <w:pStyle w:val="26"/>
        <w:rPr>
          <w:sz w:val="22"/>
        </w:rPr>
      </w:pPr>
      <w:r>
        <w:rPr>
          <w:sz w:val="22"/>
        </w:rPr>
        <w:t>Uczeń rozpoznaje objawy mogące świadczyć o chorobie, w tym zmiany skórne, bóle brzucha, klatki piersiowej i głowy, wymioty oraz krew w stolcu, i wie, kiedy poinformować osobę dorosłą;</w:t>
      </w:r>
    </w:p>
    <w:p w14:paraId="7E8129AB">
      <w:pPr>
        <w:pStyle w:val="26"/>
        <w:rPr>
          <w:sz w:val="22"/>
        </w:rPr>
      </w:pPr>
      <w:r>
        <w:rPr>
          <w:sz w:val="22"/>
        </w:rPr>
        <w:t>Uczeń mierzy temperaturę różnymi termometrami, wyjaśnia pojęcie gorączki oraz rozpoznaje sytuacje wymagające konsultacji;</w:t>
      </w:r>
    </w:p>
    <w:p w14:paraId="7E8129AC">
      <w:pPr>
        <w:pStyle w:val="26"/>
        <w:rPr>
          <w:sz w:val="22"/>
        </w:rPr>
      </w:pPr>
      <w:r>
        <w:rPr>
          <w:sz w:val="22"/>
        </w:rPr>
        <w:t>Uczeń wyjaśnia, czym są szczepienia i dlaczego mają znaczenie dla zdrowia jednostki i społeczności.</w:t>
      </w:r>
    </w:p>
    <w:p w14:paraId="7E8129AD">
      <w:pPr>
        <w:pStyle w:val="3"/>
        <w:rPr>
          <w:rFonts w:ascii="Calibri" w:hAnsi="Calibri"/>
          <w:sz w:val="22"/>
          <w:szCs w:val="22"/>
        </w:rPr>
      </w:pPr>
      <w:r>
        <w:rPr>
          <w:sz w:val="22"/>
          <w:szCs w:val="22"/>
        </w:rPr>
        <w:t>3. Aktywność fizyczna</w:t>
      </w:r>
    </w:p>
    <w:p w14:paraId="7E8129AE">
      <w:pPr>
        <w:pStyle w:val="26"/>
        <w:rPr>
          <w:sz w:val="22"/>
        </w:rPr>
      </w:pPr>
      <w:r>
        <w:rPr>
          <w:sz w:val="22"/>
        </w:rPr>
        <w:t>Uczeń planuje bezpieczną aktywność fizyczną z uwzględnieniem odpoczynku, snu i ograniczania bezczynności ruchowej;</w:t>
      </w:r>
    </w:p>
    <w:p w14:paraId="7E8129AF">
      <w:pPr>
        <w:pStyle w:val="26"/>
        <w:rPr>
          <w:sz w:val="22"/>
        </w:rPr>
      </w:pPr>
      <w:r>
        <w:rPr>
          <w:sz w:val="22"/>
        </w:rPr>
        <w:t>Uczeń wyszukuje w najbliższej okolicy miejsca, obiekty i wydarzenia umożliwiające bezpieczną aktywność zgodną z zainteresowaniami;</w:t>
      </w:r>
    </w:p>
    <w:p w14:paraId="7E8129B0">
      <w:pPr>
        <w:pStyle w:val="26"/>
        <w:rPr>
          <w:sz w:val="22"/>
        </w:rPr>
      </w:pPr>
      <w:r>
        <w:rPr>
          <w:sz w:val="22"/>
        </w:rPr>
        <w:t>Uczeń korzysta z technologii informacyjno-komunikacyjnych do wspierania zalecanego poziomu aktywności bez publicznego ujawniania prywatnych danych;</w:t>
      </w:r>
    </w:p>
    <w:p w14:paraId="7E8129B1">
      <w:pPr>
        <w:pStyle w:val="26"/>
        <w:rPr>
          <w:sz w:val="22"/>
        </w:rPr>
      </w:pPr>
      <w:r>
        <w:rPr>
          <w:sz w:val="22"/>
        </w:rPr>
        <w:t>Uczeń stosuje aktywne przerwy, ćwiczenia oddechowe, relaksacyjne, wzroku i postawy oraz wyjaśnia ich znaczenie dla zdrowia i redukcji stresu;</w:t>
      </w:r>
    </w:p>
    <w:p w14:paraId="7E8129B2">
      <w:pPr>
        <w:pStyle w:val="26"/>
        <w:rPr>
          <w:sz w:val="22"/>
        </w:rPr>
      </w:pPr>
      <w:r>
        <w:rPr>
          <w:sz w:val="22"/>
        </w:rPr>
        <w:t>Uczeń formułuje rzeczowe argumenty zachęcające rówieśników lub rodzinę do aktywności fizycznej.</w:t>
      </w:r>
    </w:p>
    <w:p w14:paraId="7E8129B3">
      <w:pPr>
        <w:pStyle w:val="3"/>
        <w:rPr>
          <w:rFonts w:ascii="Calibri" w:hAnsi="Calibri"/>
          <w:sz w:val="22"/>
          <w:szCs w:val="22"/>
        </w:rPr>
      </w:pPr>
      <w:r>
        <w:rPr>
          <w:sz w:val="22"/>
          <w:szCs w:val="22"/>
        </w:rPr>
        <w:t>4. Odżywianie</w:t>
      </w:r>
    </w:p>
    <w:p w14:paraId="7E8129B4">
      <w:pPr>
        <w:pStyle w:val="26"/>
        <w:rPr>
          <w:sz w:val="22"/>
        </w:rPr>
      </w:pPr>
      <w:r>
        <w:rPr>
          <w:sz w:val="22"/>
        </w:rPr>
        <w:t>Uczeń stosuje zalecenia talerza zdrowego żywienia, dostosowuje wielkość porcji do potrzeb i uzasadnia znaczenie regularnych posiłków oraz nawodnienia;</w:t>
      </w:r>
    </w:p>
    <w:p w14:paraId="7E8129B5">
      <w:pPr>
        <w:pStyle w:val="26"/>
        <w:rPr>
          <w:sz w:val="22"/>
        </w:rPr>
      </w:pPr>
      <w:r>
        <w:rPr>
          <w:sz w:val="22"/>
        </w:rPr>
        <w:t>Uczeń przygotowuje prosty zdrowy posiłek lub przekąskę i dobiera produkty bogate w podstawowe składniki odżywcze;</w:t>
      </w:r>
    </w:p>
    <w:p w14:paraId="7E8129B6">
      <w:pPr>
        <w:pStyle w:val="26"/>
        <w:rPr>
          <w:sz w:val="22"/>
        </w:rPr>
      </w:pPr>
      <w:r>
        <w:rPr>
          <w:sz w:val="22"/>
        </w:rPr>
        <w:t>Uczeń wskazuje korzystne dla zdrowia produkty roślinne i planuje prostą uprawę roślin jadalnych;</w:t>
      </w:r>
    </w:p>
    <w:p w14:paraId="7E8129B7">
      <w:pPr>
        <w:pStyle w:val="26"/>
        <w:rPr>
          <w:sz w:val="22"/>
        </w:rPr>
      </w:pPr>
      <w:r>
        <w:rPr>
          <w:sz w:val="22"/>
        </w:rPr>
        <w:t>Uczeń analizuje etykietę produktu, w tym wartość odżywczą, skład i alergeny, oraz korzysta z wiarygodnej aplikacji do analizy składu;</w:t>
      </w:r>
    </w:p>
    <w:p w14:paraId="7E8129B8">
      <w:pPr>
        <w:pStyle w:val="26"/>
        <w:rPr>
          <w:sz w:val="22"/>
        </w:rPr>
      </w:pPr>
      <w:r>
        <w:rPr>
          <w:sz w:val="22"/>
        </w:rPr>
        <w:t>Uczeń ocenia świeżość żywności, dobiera sposób jej przechowywania i proponuje rozwiązania ograniczające marnowanie.</w:t>
      </w:r>
    </w:p>
    <w:p w14:paraId="7E8129B9">
      <w:pPr>
        <w:pStyle w:val="3"/>
        <w:rPr>
          <w:rFonts w:ascii="Calibri" w:hAnsi="Calibri"/>
          <w:sz w:val="22"/>
          <w:szCs w:val="22"/>
        </w:rPr>
      </w:pPr>
      <w:r>
        <w:rPr>
          <w:sz w:val="22"/>
          <w:szCs w:val="22"/>
        </w:rPr>
        <w:t>5. Zdrowie psychiczne</w:t>
      </w:r>
    </w:p>
    <w:p w14:paraId="7E8129BA">
      <w:pPr>
        <w:pStyle w:val="26"/>
        <w:rPr>
          <w:sz w:val="22"/>
        </w:rPr>
      </w:pPr>
      <w:r>
        <w:rPr>
          <w:sz w:val="22"/>
        </w:rPr>
        <w:t>Uczeń wyjaśnia wpływ stresu na ciało, myśli, emocje i zdolności poznawcze oraz dobiera konstruktywną strategię radzenia sobie ze stresem;</w:t>
      </w:r>
    </w:p>
    <w:p w14:paraId="7E8129BB">
      <w:pPr>
        <w:pStyle w:val="26"/>
        <w:rPr>
          <w:sz w:val="22"/>
        </w:rPr>
      </w:pPr>
      <w:r>
        <w:rPr>
          <w:sz w:val="22"/>
        </w:rPr>
        <w:t>Uczeń stosuje proste techniki uważności i omawia zasady pierwszej pomocy emocjonalnej;</w:t>
      </w:r>
    </w:p>
    <w:p w14:paraId="7E8129BC">
      <w:pPr>
        <w:pStyle w:val="26"/>
        <w:rPr>
          <w:sz w:val="22"/>
        </w:rPr>
      </w:pPr>
      <w:r>
        <w:rPr>
          <w:sz w:val="22"/>
        </w:rPr>
        <w:t>Uczeń wyjaśnia pojęcia pozytywnej samooceny i pozytywnego obrazu siebie oraz wskazuje sposoby ich budowania;</w:t>
      </w:r>
    </w:p>
    <w:p w14:paraId="7E8129BD">
      <w:pPr>
        <w:pStyle w:val="26"/>
        <w:rPr>
          <w:sz w:val="22"/>
        </w:rPr>
      </w:pPr>
      <w:r>
        <w:rPr>
          <w:sz w:val="22"/>
        </w:rPr>
        <w:t>Uczeń odróżnia postawę asertywną, agresywną i uległą oraz stosuje komunikat asertywny adekwatny do sytuacji;</w:t>
      </w:r>
    </w:p>
    <w:p w14:paraId="7E8129BE">
      <w:pPr>
        <w:pStyle w:val="26"/>
        <w:rPr>
          <w:sz w:val="22"/>
        </w:rPr>
      </w:pPr>
      <w:r>
        <w:rPr>
          <w:sz w:val="22"/>
        </w:rPr>
        <w:t>Uczeń rozpoznaje przemoc fizyczną, psychiczną, rówieśniczą, cyberprzemoc i zaniedbanie oraz wskazuje bezpieczną reakcję świadka i miejsca pomocy.</w:t>
      </w:r>
    </w:p>
    <w:p w14:paraId="7E8129BF">
      <w:pPr>
        <w:pStyle w:val="3"/>
        <w:rPr>
          <w:rFonts w:ascii="Calibri" w:hAnsi="Calibri"/>
          <w:sz w:val="22"/>
          <w:szCs w:val="22"/>
        </w:rPr>
      </w:pPr>
      <w:r>
        <w:rPr>
          <w:sz w:val="22"/>
          <w:szCs w:val="22"/>
        </w:rPr>
        <w:t>6. Zdrowie społeczne</w:t>
      </w:r>
    </w:p>
    <w:p w14:paraId="7E8129C0">
      <w:pPr>
        <w:pStyle w:val="26"/>
        <w:rPr>
          <w:sz w:val="22"/>
        </w:rPr>
      </w:pPr>
      <w:r>
        <w:rPr>
          <w:sz w:val="22"/>
        </w:rPr>
        <w:t>Uczeń omawia funkcje rodziny, jej wartość w życiu człowieka oraz znaczenie rodziny wielodzietnej;</w:t>
      </w:r>
    </w:p>
    <w:p w14:paraId="7E8129C1">
      <w:pPr>
        <w:pStyle w:val="26"/>
        <w:rPr>
          <w:sz w:val="22"/>
        </w:rPr>
      </w:pPr>
      <w:r>
        <w:rPr>
          <w:sz w:val="22"/>
        </w:rPr>
        <w:t>Uczeń wyjaśnia prawa i obowiązki dziecka i rodziców oraz wskazuje sposoby dbania o więzi rodzinne;</w:t>
      </w:r>
    </w:p>
    <w:p w14:paraId="7E8129C2">
      <w:pPr>
        <w:pStyle w:val="26"/>
        <w:rPr>
          <w:sz w:val="22"/>
        </w:rPr>
      </w:pPr>
      <w:r>
        <w:rPr>
          <w:sz w:val="22"/>
        </w:rPr>
        <w:t>Uczeń analizuje wpływ separacji, rozwodu, nowych związków rodziców, adopcji, rodzicielstwa zastępczego, pojawienia się rodzeństwa, choroby i śmierci na funkcjonowanie rodziny;</w:t>
      </w:r>
    </w:p>
    <w:p w14:paraId="7E8129C3">
      <w:pPr>
        <w:pStyle w:val="26"/>
        <w:rPr>
          <w:sz w:val="22"/>
        </w:rPr>
      </w:pPr>
      <w:r>
        <w:rPr>
          <w:sz w:val="22"/>
        </w:rPr>
        <w:t>Uczeń rozpoznaje naruszenie granic osobistych i dobiera bezpieczną, asertywną reakcję oraz właściwe źródło pomocy;</w:t>
      </w:r>
    </w:p>
    <w:p w14:paraId="7E8129C4">
      <w:pPr>
        <w:pStyle w:val="26"/>
        <w:rPr>
          <w:sz w:val="22"/>
        </w:rPr>
      </w:pPr>
      <w:r>
        <w:rPr>
          <w:sz w:val="22"/>
        </w:rPr>
        <w:t>Uczeń stosuje zasady komunikacji werbalnej i niewerbalnej w fikcyjnych lub zanonimizowanych sytuacjach społecznych.</w:t>
      </w:r>
    </w:p>
    <w:p w14:paraId="7E8129C5">
      <w:pPr>
        <w:pStyle w:val="3"/>
        <w:rPr>
          <w:rFonts w:ascii="Calibri" w:hAnsi="Calibri"/>
          <w:sz w:val="22"/>
          <w:szCs w:val="22"/>
        </w:rPr>
      </w:pPr>
      <w:r>
        <w:rPr>
          <w:sz w:val="22"/>
          <w:szCs w:val="22"/>
        </w:rPr>
        <w:t>7. Dojrzewanie</w:t>
      </w:r>
    </w:p>
    <w:p w14:paraId="7E8129C6">
      <w:pPr>
        <w:pStyle w:val="26"/>
        <w:rPr>
          <w:sz w:val="22"/>
        </w:rPr>
      </w:pPr>
      <w:r>
        <w:rPr>
          <w:sz w:val="22"/>
        </w:rPr>
        <w:t>Uczeń opisuje zmiany zachodzące w mózgu podczas dojrzewania oraz ich możliwy wpływ na zachowanie nastolatków;</w:t>
      </w:r>
    </w:p>
    <w:p w14:paraId="7E8129C7">
      <w:pPr>
        <w:pStyle w:val="26"/>
        <w:rPr>
          <w:sz w:val="22"/>
        </w:rPr>
      </w:pPr>
      <w:r>
        <w:rPr>
          <w:sz w:val="22"/>
        </w:rPr>
        <w:t>Uczeń wyjaśnia różnicę między dojrzewaniem fizycznym a dojrzałością psychiczną;</w:t>
      </w:r>
    </w:p>
    <w:p w14:paraId="7E8129C8">
      <w:pPr>
        <w:pStyle w:val="26"/>
        <w:rPr>
          <w:sz w:val="22"/>
        </w:rPr>
      </w:pPr>
      <w:r>
        <w:rPr>
          <w:sz w:val="22"/>
        </w:rPr>
        <w:t>Uczeń rozpoznaje zmiany okresu dojrzewania należące do normy medycznej oraz sygnały wymagające konsultacji;</w:t>
      </w:r>
    </w:p>
    <w:p w14:paraId="7E8129C9">
      <w:pPr>
        <w:pStyle w:val="26"/>
        <w:rPr>
          <w:sz w:val="22"/>
        </w:rPr>
      </w:pPr>
      <w:r>
        <w:rPr>
          <w:sz w:val="22"/>
        </w:rPr>
        <w:t>Uczeń omawia higienę skóry, całego ciała i narządów płciowych językiem rzeczowym i niespersonalizowanym;</w:t>
      </w:r>
    </w:p>
    <w:p w14:paraId="7E8129CA">
      <w:pPr>
        <w:pStyle w:val="26"/>
        <w:rPr>
          <w:sz w:val="22"/>
        </w:rPr>
      </w:pPr>
      <w:r>
        <w:rPr>
          <w:sz w:val="22"/>
        </w:rPr>
        <w:t>Uczeń omawia etapy cyklu miesiączkowego, podstawowe zasady używania podpasek i tamponów oraz wpływ cyklu na codzienne funkcjonowanie.</w:t>
      </w:r>
    </w:p>
    <w:p w14:paraId="7E8129CB">
      <w:pPr>
        <w:pStyle w:val="3"/>
        <w:rPr>
          <w:rFonts w:ascii="Calibri" w:hAnsi="Calibri"/>
          <w:sz w:val="22"/>
          <w:szCs w:val="22"/>
        </w:rPr>
      </w:pPr>
      <w:r>
        <w:rPr>
          <w:sz w:val="22"/>
          <w:szCs w:val="22"/>
        </w:rPr>
        <w:t>8. Zdrowie środowiskowe</w:t>
      </w:r>
    </w:p>
    <w:p w14:paraId="7E8129CC">
      <w:pPr>
        <w:pStyle w:val="26"/>
        <w:rPr>
          <w:sz w:val="22"/>
        </w:rPr>
      </w:pPr>
      <w:r>
        <w:rPr>
          <w:sz w:val="22"/>
        </w:rPr>
        <w:t>Uczeń wyjaśnia wpływ zanieczyszczenia powietrza i wody, utraty terenów zielonych oraz zmiany klimatu na zdrowie;</w:t>
      </w:r>
    </w:p>
    <w:p w14:paraId="7E8129CD">
      <w:pPr>
        <w:pStyle w:val="26"/>
        <w:rPr>
          <w:sz w:val="22"/>
        </w:rPr>
      </w:pPr>
      <w:r>
        <w:rPr>
          <w:sz w:val="22"/>
        </w:rPr>
        <w:t>Uczeń sprawdza aktualny stan zanieczyszczenia powietrza przy użyciu wiarygodnego narzędzia i proponuje sposoby ograniczania narażenia;</w:t>
      </w:r>
    </w:p>
    <w:p w14:paraId="7E8129CE">
      <w:pPr>
        <w:pStyle w:val="26"/>
        <w:rPr>
          <w:sz w:val="22"/>
        </w:rPr>
      </w:pPr>
      <w:r>
        <w:rPr>
          <w:sz w:val="22"/>
        </w:rPr>
        <w:t>Uczeń sprawdza natężenie hałasu za pomocą odpowiedniej aplikacji, wyjaśnia zasady profilaktyki niedosłuchu i proponuje ograniczenie hałasu;</w:t>
      </w:r>
    </w:p>
    <w:p w14:paraId="7E8129CF">
      <w:pPr>
        <w:pStyle w:val="26"/>
        <w:rPr>
          <w:sz w:val="22"/>
        </w:rPr>
      </w:pPr>
      <w:r>
        <w:rPr>
          <w:sz w:val="22"/>
        </w:rPr>
        <w:t>Uczeń planuje proste działanie proekologiczne wspierające zdrowie człowieka i stan środowiska.</w:t>
      </w:r>
    </w:p>
    <w:p w14:paraId="7E8129D0">
      <w:pPr>
        <w:pStyle w:val="3"/>
        <w:rPr>
          <w:rFonts w:ascii="Calibri" w:hAnsi="Calibri"/>
          <w:sz w:val="22"/>
          <w:szCs w:val="22"/>
        </w:rPr>
      </w:pPr>
      <w:r>
        <w:rPr>
          <w:sz w:val="22"/>
          <w:szCs w:val="22"/>
        </w:rPr>
        <w:t>9. Internet i profilaktyka uzależnień</w:t>
      </w:r>
    </w:p>
    <w:p w14:paraId="7E8129D1">
      <w:pPr>
        <w:pStyle w:val="26"/>
        <w:rPr>
          <w:sz w:val="22"/>
        </w:rPr>
      </w:pPr>
      <w:r>
        <w:rPr>
          <w:sz w:val="22"/>
        </w:rPr>
        <w:t>Uczeń wyjaśnia pojęcia niebieskiego światła, szyi SMS-owej i krótkowzroczności w kontekście nadużywania urządzeń ekranowych;</w:t>
      </w:r>
    </w:p>
    <w:p w14:paraId="7E8129D2">
      <w:pPr>
        <w:pStyle w:val="26"/>
        <w:rPr>
          <w:sz w:val="22"/>
        </w:rPr>
      </w:pPr>
      <w:r>
        <w:rPr>
          <w:sz w:val="22"/>
        </w:rPr>
        <w:t>Uczeń porównuje relacje bez użycia technologii z relacjami zapośredniczonymi przez urządzenia elektroniczne;</w:t>
      </w:r>
    </w:p>
    <w:p w14:paraId="7E8129D3">
      <w:pPr>
        <w:pStyle w:val="26"/>
        <w:rPr>
          <w:sz w:val="22"/>
        </w:rPr>
      </w:pPr>
      <w:r>
        <w:rPr>
          <w:sz w:val="22"/>
        </w:rPr>
        <w:t>Uczeń analizuje zagrożenia, w tym cyberprzemoc, hejt, mowę nienawiści, patostreaming, phishing, deepfake, kradzież tożsamości, uwodzenie i szantaż w sieci;</w:t>
      </w:r>
    </w:p>
    <w:p w14:paraId="7E8129D4">
      <w:pPr>
        <w:pStyle w:val="26"/>
        <w:rPr>
          <w:sz w:val="22"/>
        </w:rPr>
      </w:pPr>
      <w:r>
        <w:rPr>
          <w:sz w:val="22"/>
        </w:rPr>
        <w:t>Uczeń omawia korzyści i zagrożenia związane ze sztuczną inteligencją oraz wirtualną rzeczywistością;</w:t>
      </w:r>
    </w:p>
    <w:p w14:paraId="7E8129D5">
      <w:pPr>
        <w:pStyle w:val="26"/>
        <w:rPr>
          <w:sz w:val="22"/>
        </w:rPr>
      </w:pPr>
      <w:r>
        <w:rPr>
          <w:sz w:val="22"/>
        </w:rPr>
        <w:t>Uczeń wyjaśnia mechanizm presji rówieśniczej i stosuje odmowę dotyczącą alkoholu, wyrobów tytoniowych i napojów energetyzujących.</w:t>
      </w:r>
    </w:p>
    <w:p w14:paraId="7E8129D6">
      <w:pPr>
        <w:pStyle w:val="26"/>
        <w:numPr>
          <w:ilvl w:val="0"/>
          <w:numId w:val="0"/>
        </w:numPr>
        <w:rPr>
          <w:b/>
          <w:bCs/>
          <w:sz w:val="22"/>
        </w:rPr>
      </w:pPr>
    </w:p>
    <w:p w14:paraId="7E8129D7">
      <w:pPr>
        <w:pStyle w:val="26"/>
        <w:numPr>
          <w:ilvl w:val="0"/>
          <w:numId w:val="0"/>
        </w:numPr>
        <w:rPr>
          <w:b/>
          <w:bCs/>
          <w:sz w:val="22"/>
        </w:rPr>
      </w:pPr>
    </w:p>
    <w:p w14:paraId="7E8129D8">
      <w:pPr>
        <w:pStyle w:val="26"/>
        <w:numPr>
          <w:ilvl w:val="0"/>
          <w:numId w:val="0"/>
        </w:numPr>
        <w:rPr>
          <w:b/>
          <w:bCs/>
          <w:sz w:val="22"/>
        </w:rPr>
      </w:pPr>
    </w:p>
    <w:p w14:paraId="7E8129D9">
      <w:pPr>
        <w:pStyle w:val="26"/>
        <w:numPr>
          <w:ilvl w:val="0"/>
          <w:numId w:val="0"/>
        </w:numPr>
        <w:rPr>
          <w:b/>
          <w:bCs/>
          <w:sz w:val="22"/>
        </w:rPr>
      </w:pPr>
    </w:p>
    <w:p w14:paraId="7E8129DA">
      <w:pPr>
        <w:pStyle w:val="26"/>
        <w:numPr>
          <w:ilvl w:val="0"/>
          <w:numId w:val="0"/>
        </w:numPr>
        <w:rPr>
          <w:b/>
          <w:bCs/>
          <w:sz w:val="22"/>
        </w:rPr>
      </w:pPr>
      <w:r>
        <w:rPr>
          <w:b/>
          <w:bCs/>
          <w:sz w:val="22"/>
        </w:rPr>
        <w:t>6. Wymagania na poszczególne oceny – klasa V</w:t>
      </w:r>
    </w:p>
    <w:p w14:paraId="7E8129DB">
      <w:pPr>
        <w:rPr>
          <w:sz w:val="22"/>
        </w:rPr>
      </w:pPr>
      <w:r>
        <w:rPr>
          <w:b/>
          <w:sz w:val="22"/>
        </w:rPr>
        <w:t>Wymagania są kumulatywne i odnoszą się do zakresu realizowanego w klasie V. Ocenia się wiedzę i umiejętności wynikające z obowiązkowej edukacji zdrowotnej, a nie stan zdrowia ani prywatne doświadczenia ucznia.</w:t>
      </w:r>
    </w:p>
    <w:p w14:paraId="7E8129DC">
      <w:pPr>
        <w:pStyle w:val="3"/>
        <w:rPr>
          <w:rFonts w:ascii="Calibri" w:hAnsi="Calibri"/>
          <w:sz w:val="22"/>
          <w:szCs w:val="22"/>
        </w:rPr>
      </w:pPr>
      <w:r>
        <w:rPr>
          <w:sz w:val="22"/>
          <w:szCs w:val="22"/>
        </w:rPr>
        <w:t>6 – celujący</w:t>
      </w:r>
    </w:p>
    <w:p w14:paraId="7E8129DD">
      <w:pPr>
        <w:pStyle w:val="26"/>
        <w:rPr>
          <w:sz w:val="22"/>
        </w:rPr>
      </w:pPr>
      <w:r>
        <w:rPr>
          <w:sz w:val="22"/>
        </w:rPr>
        <w:t>Uczeń samodzielnie łączy profilaktykę fizyczną, psychiczną, społeczną, cyfrową i środowiskową w spójne rozwiązanie;</w:t>
      </w:r>
    </w:p>
    <w:p w14:paraId="7E8129DE">
      <w:pPr>
        <w:pStyle w:val="26"/>
        <w:rPr>
          <w:sz w:val="22"/>
        </w:rPr>
      </w:pPr>
      <w:r>
        <w:rPr>
          <w:sz w:val="22"/>
        </w:rPr>
        <w:t>Uczeń krytycznie porównuje źródła, aplikacje i przekazy zdrowotne, rozpoznaje uproszczenia oraz uzasadnia ocenę ich wiarygodności;</w:t>
      </w:r>
    </w:p>
    <w:p w14:paraId="7E8129DF">
      <w:pPr>
        <w:pStyle w:val="26"/>
        <w:rPr>
          <w:sz w:val="22"/>
        </w:rPr>
      </w:pPr>
      <w:r>
        <w:rPr>
          <w:sz w:val="22"/>
        </w:rPr>
        <w:t>Uczeń rozwiązuje złożone studium przypadku dotyczące stresu, przemocy, dojrzewania lub presji i przewiduje skutki kilku możliwych reakcji;</w:t>
      </w:r>
    </w:p>
    <w:p w14:paraId="7E8129E0">
      <w:pPr>
        <w:pStyle w:val="26"/>
        <w:rPr>
          <w:sz w:val="22"/>
        </w:rPr>
      </w:pPr>
      <w:r>
        <w:rPr>
          <w:sz w:val="22"/>
        </w:rPr>
        <w:t>Uczeń projektuje praktyczne działanie, testuje je, ocenia rezultat i wprowadza uzasadnione poprawki.</w:t>
      </w:r>
    </w:p>
    <w:p w14:paraId="7E8129E1">
      <w:pPr>
        <w:pStyle w:val="3"/>
        <w:rPr>
          <w:rFonts w:ascii="Calibri" w:hAnsi="Calibri"/>
          <w:sz w:val="22"/>
          <w:szCs w:val="22"/>
        </w:rPr>
      </w:pPr>
      <w:r>
        <w:rPr>
          <w:sz w:val="22"/>
          <w:szCs w:val="22"/>
        </w:rPr>
        <w:t>5 – bardzo dobry</w:t>
      </w:r>
    </w:p>
    <w:p w14:paraId="7E8129E2">
      <w:pPr>
        <w:pStyle w:val="26"/>
        <w:rPr>
          <w:sz w:val="22"/>
        </w:rPr>
      </w:pPr>
      <w:r>
        <w:rPr>
          <w:sz w:val="22"/>
        </w:rPr>
        <w:t>Uczeń bardzo dobrze opanował wymagania klasy V i samodzielnie stosuje je w nowych sytuacjach;</w:t>
      </w:r>
    </w:p>
    <w:p w14:paraId="7E8129E3">
      <w:pPr>
        <w:pStyle w:val="26"/>
        <w:rPr>
          <w:sz w:val="22"/>
        </w:rPr>
      </w:pPr>
      <w:r>
        <w:rPr>
          <w:sz w:val="22"/>
        </w:rPr>
        <w:t>Uczeń poprawnie wyjaśnia mechanizmy profilaktyki, stresu, asertywności, dojrzewania i bezpieczeństwa cyfrowego;</w:t>
      </w:r>
    </w:p>
    <w:p w14:paraId="7E8129E4">
      <w:pPr>
        <w:pStyle w:val="26"/>
        <w:rPr>
          <w:sz w:val="22"/>
        </w:rPr>
      </w:pPr>
      <w:r>
        <w:rPr>
          <w:sz w:val="22"/>
        </w:rPr>
        <w:t>Uczeń samodzielnie interpretuje etykiety, dane środowiskowe i materiały źródłowe oraz formułuje trafne wnioski;</w:t>
      </w:r>
    </w:p>
    <w:p w14:paraId="7E8129E5">
      <w:pPr>
        <w:pStyle w:val="26"/>
        <w:rPr>
          <w:sz w:val="22"/>
        </w:rPr>
      </w:pPr>
      <w:r>
        <w:rPr>
          <w:sz w:val="22"/>
        </w:rPr>
        <w:t>Uczeń dobiera bezpieczne reakcje na presję, przemoc, zagrożenie zdrowotne lub cyfrowe i rzeczowo je uzasadnia.</w:t>
      </w:r>
    </w:p>
    <w:p w14:paraId="7E8129E6">
      <w:pPr>
        <w:pStyle w:val="3"/>
        <w:rPr>
          <w:rFonts w:ascii="Calibri" w:hAnsi="Calibri"/>
          <w:sz w:val="22"/>
          <w:szCs w:val="22"/>
        </w:rPr>
      </w:pPr>
      <w:r>
        <w:rPr>
          <w:sz w:val="22"/>
          <w:szCs w:val="22"/>
        </w:rPr>
        <w:t>4 – dobry</w:t>
      </w:r>
    </w:p>
    <w:p w14:paraId="7E8129E7">
      <w:pPr>
        <w:pStyle w:val="26"/>
        <w:rPr>
          <w:sz w:val="22"/>
        </w:rPr>
      </w:pPr>
      <w:r>
        <w:rPr>
          <w:sz w:val="22"/>
        </w:rPr>
        <w:t>Uczeń opanował większość wymagań klasy V i samodzielnie rozwiązuje typowe zadania;</w:t>
      </w:r>
    </w:p>
    <w:p w14:paraId="7E8129E8">
      <w:pPr>
        <w:pStyle w:val="26"/>
        <w:rPr>
          <w:sz w:val="22"/>
        </w:rPr>
      </w:pPr>
      <w:r>
        <w:rPr>
          <w:sz w:val="22"/>
        </w:rPr>
        <w:t>Uczeń dobiera zasady profilaktyki, pomocy i bezpieczeństwa do przedstawionej sytuacji;</w:t>
      </w:r>
    </w:p>
    <w:p w14:paraId="7E8129E9">
      <w:pPr>
        <w:pStyle w:val="26"/>
        <w:rPr>
          <w:sz w:val="22"/>
        </w:rPr>
      </w:pPr>
      <w:r>
        <w:rPr>
          <w:sz w:val="22"/>
        </w:rPr>
        <w:t>Uczeń porównuje produkty, zachowania lub źródła i zwykle poprawnie uzasadnia wybór;</w:t>
      </w:r>
    </w:p>
    <w:p w14:paraId="7E8129EA">
      <w:pPr>
        <w:pStyle w:val="26"/>
        <w:rPr>
          <w:sz w:val="22"/>
        </w:rPr>
      </w:pPr>
      <w:r>
        <w:rPr>
          <w:sz w:val="22"/>
        </w:rPr>
        <w:t>Uczeń stosuje komunikat asertywny i wskazuje właściwą osobę lub instytucję pomocy.</w:t>
      </w:r>
    </w:p>
    <w:p w14:paraId="7E8129EB">
      <w:pPr>
        <w:pStyle w:val="3"/>
        <w:rPr>
          <w:rFonts w:ascii="Calibri" w:hAnsi="Calibri"/>
          <w:sz w:val="22"/>
          <w:szCs w:val="22"/>
        </w:rPr>
      </w:pPr>
      <w:r>
        <w:rPr>
          <w:sz w:val="22"/>
          <w:szCs w:val="22"/>
        </w:rPr>
        <w:t>3 – dostateczny</w:t>
      </w:r>
    </w:p>
    <w:p w14:paraId="7E8129EC">
      <w:pPr>
        <w:pStyle w:val="26"/>
        <w:rPr>
          <w:sz w:val="22"/>
        </w:rPr>
      </w:pPr>
      <w:r>
        <w:rPr>
          <w:sz w:val="22"/>
        </w:rPr>
        <w:t>Uczeń wyjaśnia podstawowe pojęcia związane z profilaktyką, stresem, asertywnością, dojrzewaniem i higieną cyfrową;</w:t>
      </w:r>
    </w:p>
    <w:p w14:paraId="7E8129ED">
      <w:pPr>
        <w:pStyle w:val="26"/>
        <w:rPr>
          <w:sz w:val="22"/>
        </w:rPr>
      </w:pPr>
      <w:r>
        <w:rPr>
          <w:sz w:val="22"/>
        </w:rPr>
        <w:t>Uczeń rozpoznaje typowe zagrożenie zdrowotne, społeczne, środowiskowe lub cyfrowe i wskazuje bezpieczną reakcję;</w:t>
      </w:r>
    </w:p>
    <w:p w14:paraId="7E8129EE">
      <w:pPr>
        <w:pStyle w:val="26"/>
        <w:rPr>
          <w:sz w:val="22"/>
        </w:rPr>
      </w:pPr>
      <w:r>
        <w:rPr>
          <w:sz w:val="22"/>
        </w:rPr>
        <w:t>Uczeń wykonuje proste zadanie praktyczne lub analizę według instrukcji;</w:t>
      </w:r>
    </w:p>
    <w:p w14:paraId="7E8129EF">
      <w:pPr>
        <w:pStyle w:val="26"/>
        <w:rPr>
          <w:sz w:val="22"/>
        </w:rPr>
      </w:pPr>
      <w:r>
        <w:rPr>
          <w:sz w:val="22"/>
        </w:rPr>
        <w:t>Uczeń odczytuje najważniejszą informację ze wskazanego źródła, etykiety lub prostego zestawu danych.</w:t>
      </w:r>
    </w:p>
    <w:p w14:paraId="7E8129F0">
      <w:pPr>
        <w:pStyle w:val="3"/>
        <w:rPr>
          <w:rFonts w:ascii="Calibri" w:hAnsi="Calibri"/>
          <w:sz w:val="22"/>
          <w:szCs w:val="22"/>
        </w:rPr>
      </w:pPr>
      <w:r>
        <w:rPr>
          <w:sz w:val="22"/>
          <w:szCs w:val="22"/>
        </w:rPr>
        <w:t>2 – dopuszczający</w:t>
      </w:r>
    </w:p>
    <w:p w14:paraId="7E8129F1">
      <w:pPr>
        <w:pStyle w:val="26"/>
        <w:rPr>
          <w:sz w:val="22"/>
        </w:rPr>
      </w:pPr>
      <w:r>
        <w:rPr>
          <w:sz w:val="22"/>
        </w:rPr>
        <w:t>Uczeń z pomocą podaje podstawowe zasady profilaktyki, higieny, odżywiania, ruchu, snu i bezpieczeństwa cyfrowego;</w:t>
      </w:r>
    </w:p>
    <w:p w14:paraId="7E8129F2">
      <w:pPr>
        <w:pStyle w:val="26"/>
        <w:rPr>
          <w:sz w:val="22"/>
        </w:rPr>
      </w:pPr>
      <w:r>
        <w:rPr>
          <w:sz w:val="22"/>
        </w:rPr>
        <w:t>Uczeń rozpoznaje przemoc, presję, wyraźnie ryzykowny kontakt lub objaw wymagający zgłoszenia osobie dorosłej;</w:t>
      </w:r>
    </w:p>
    <w:p w14:paraId="7E8129F3">
      <w:pPr>
        <w:pStyle w:val="26"/>
        <w:rPr>
          <w:sz w:val="22"/>
        </w:rPr>
      </w:pPr>
      <w:r>
        <w:rPr>
          <w:sz w:val="22"/>
        </w:rPr>
        <w:t>Uczeń z pomocą wskazuje właściwe źródło pomocy;</w:t>
      </w:r>
    </w:p>
    <w:p w14:paraId="7E8129F4">
      <w:pPr>
        <w:pStyle w:val="26"/>
        <w:rPr>
          <w:sz w:val="22"/>
        </w:rPr>
      </w:pPr>
      <w:r>
        <w:rPr>
          <w:sz w:val="22"/>
        </w:rPr>
        <w:t>Uczeń wykonuje najprostszy element zadania przy szczegółowej instrukcji.</w:t>
      </w:r>
    </w:p>
    <w:p w14:paraId="7E8129F5">
      <w:pPr>
        <w:pStyle w:val="3"/>
        <w:rPr>
          <w:rFonts w:ascii="Calibri" w:hAnsi="Calibri"/>
          <w:sz w:val="22"/>
          <w:szCs w:val="22"/>
        </w:rPr>
      </w:pPr>
      <w:r>
        <w:rPr>
          <w:sz w:val="22"/>
          <w:szCs w:val="22"/>
        </w:rPr>
        <w:t>1 – niedostateczny</w:t>
      </w:r>
    </w:p>
    <w:p w14:paraId="7E8129F6">
      <w:pPr>
        <w:pStyle w:val="26"/>
        <w:rPr>
          <w:sz w:val="22"/>
        </w:rPr>
      </w:pPr>
      <w:r>
        <w:rPr>
          <w:sz w:val="22"/>
        </w:rPr>
        <w:t>Uczeń nie osiąga poziomu koniecznego opisanego dla oceny dopuszczającej mimo zapewnienia wsparcia, możliwości uzupełnienia braków i dostosowania wymagań. Oceny niedostatecznej nie można uzasadniać stanem zdrowia, poglądami, odmową osobistych zwierzeń ani nieuczestniczeniem w zajęciach „edukacja zdrowotna – zdrowie seksualne”.</w:t>
      </w:r>
    </w:p>
    <w:p w14:paraId="7E8129F7">
      <w:pPr>
        <w:pStyle w:val="2"/>
        <w:spacing w:before="0"/>
        <w:rPr>
          <w:rFonts w:ascii="Calibri" w:hAnsi="Calibri"/>
          <w:sz w:val="22"/>
          <w:szCs w:val="22"/>
        </w:rPr>
      </w:pPr>
      <w:r>
        <w:rPr>
          <w:sz w:val="22"/>
          <w:szCs w:val="22"/>
        </w:rPr>
        <w:t>7. Doświadczenie edukacyjne i ocena pracy praktycznej</w:t>
      </w:r>
    </w:p>
    <w:p w14:paraId="7E8129F8">
      <w:pPr>
        <w:rPr>
          <w:sz w:val="22"/>
        </w:rPr>
      </w:pPr>
      <w:r>
        <w:rPr>
          <w:b/>
          <w:sz w:val="22"/>
        </w:rPr>
        <w:t xml:space="preserve">Podstawa programowa wymaga co najmniej jednego doświadczenia edukacyjnego w każdym roku szkolnym. </w:t>
      </w:r>
      <w:r>
        <w:rPr>
          <w:sz w:val="22"/>
        </w:rPr>
        <w:t>Może ono zostać wybrane przez ucznia samodzielnie lub wspólnie z nauczycielem. Przykłady odpowiednie dla tej klasy:</w:t>
      </w:r>
    </w:p>
    <w:p w14:paraId="7E8129F9">
      <w:pPr>
        <w:pStyle w:val="26"/>
        <w:rPr>
          <w:sz w:val="22"/>
        </w:rPr>
      </w:pPr>
      <w:r>
        <w:rPr>
          <w:sz w:val="22"/>
        </w:rPr>
        <w:t>analiza etykiet i wiarygodnej aplikacji oraz zaplanowanie ograniczenia marnowania żywności;</w:t>
      </w:r>
    </w:p>
    <w:p w14:paraId="7E8129FA">
      <w:pPr>
        <w:pStyle w:val="26"/>
        <w:rPr>
          <w:sz w:val="22"/>
        </w:rPr>
      </w:pPr>
      <w:r>
        <w:rPr>
          <w:sz w:val="22"/>
        </w:rPr>
        <w:t>praca grupowa przedstawiająca bezpieczną reakcję na przemoc, presję lub naruszenie granic;</w:t>
      </w:r>
    </w:p>
    <w:p w14:paraId="7E8129FB">
      <w:pPr>
        <w:pStyle w:val="26"/>
        <w:rPr>
          <w:sz w:val="22"/>
        </w:rPr>
      </w:pPr>
      <w:r>
        <w:rPr>
          <w:sz w:val="22"/>
        </w:rPr>
        <w:t>pomiar jakości powietrza albo natężenia hałasu i przygotowanie realistycznej rekomendacji dla szkoły lub domu.</w:t>
      </w:r>
    </w:p>
    <w:p w14:paraId="7E8129FC">
      <w:pPr>
        <w:pStyle w:val="3"/>
        <w:rPr>
          <w:sz w:val="22"/>
          <w:szCs w:val="22"/>
        </w:rPr>
      </w:pPr>
      <w:r>
        <w:rPr>
          <w:sz w:val="22"/>
          <w:szCs w:val="22"/>
        </w:rPr>
        <w:t>Plan doświadczenia edukacyjnego – do uzupełnienia</w:t>
      </w:r>
    </w:p>
    <w:tbl>
      <w:tblPr>
        <w:tblStyle w:val="38"/>
        <w:tblW w:w="99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80" w:type="dxa"/>
          <w:left w:w="100" w:type="dxa"/>
          <w:bottom w:w="80" w:type="dxa"/>
          <w:right w:w="100" w:type="dxa"/>
        </w:tblCellMar>
      </w:tblPr>
      <w:tblGrid>
        <w:gridCol w:w="4989"/>
        <w:gridCol w:w="4990"/>
      </w:tblGrid>
      <w:tr w14:paraId="7E812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00" w:type="dxa"/>
            <w:bottom w:w="80" w:type="dxa"/>
            <w:right w:w="100" w:type="dxa"/>
          </w:tblCellMar>
        </w:tblPrEx>
        <w:trPr>
          <w:jc w:val="center"/>
        </w:trPr>
        <w:tc>
          <w:tcPr>
            <w:tcW w:w="4989" w:type="dxa"/>
            <w:shd w:val="clear" w:color="auto" w:fill="F2F2F2"/>
            <w:vAlign w:val="center"/>
          </w:tcPr>
          <w:p w14:paraId="7E8129FD">
            <w:pPr>
              <w:spacing w:after="0"/>
              <w:rPr>
                <w:sz w:val="22"/>
              </w:rPr>
            </w:pPr>
            <w:r>
              <w:rPr>
                <w:b/>
                <w:sz w:val="22"/>
              </w:rPr>
              <w:t>Wybrane doświadczenie / projekt</w:t>
            </w:r>
          </w:p>
        </w:tc>
        <w:tc>
          <w:tcPr>
            <w:tcW w:w="4990" w:type="dxa"/>
            <w:vAlign w:val="center"/>
          </w:tcPr>
          <w:p w14:paraId="7E8129FE">
            <w:pPr>
              <w:spacing w:after="0"/>
              <w:rPr>
                <w:rFonts w:hint="default"/>
                <w:sz w:val="22"/>
                <w:lang w:val="pl-PL"/>
              </w:rPr>
            </w:pPr>
            <w:r>
              <w:rPr>
                <w:rFonts w:hint="default"/>
                <w:sz w:val="22"/>
                <w:lang w:val="pl-PL"/>
              </w:rPr>
              <w:t>Wg propozycji podanych w programie</w:t>
            </w:r>
          </w:p>
        </w:tc>
      </w:tr>
      <w:tr w14:paraId="7E812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00" w:type="dxa"/>
            <w:bottom w:w="80" w:type="dxa"/>
            <w:right w:w="100" w:type="dxa"/>
          </w:tblCellMar>
        </w:tblPrEx>
        <w:trPr>
          <w:jc w:val="center"/>
        </w:trPr>
        <w:tc>
          <w:tcPr>
            <w:tcW w:w="4989" w:type="dxa"/>
            <w:shd w:val="clear" w:color="auto" w:fill="F2F2F2"/>
            <w:vAlign w:val="center"/>
          </w:tcPr>
          <w:p w14:paraId="7E812A00">
            <w:pPr>
              <w:spacing w:after="0"/>
              <w:rPr>
                <w:sz w:val="22"/>
              </w:rPr>
            </w:pPr>
            <w:r>
              <w:rPr>
                <w:b/>
                <w:sz w:val="22"/>
              </w:rPr>
              <w:t>Planowany termin</w:t>
            </w:r>
          </w:p>
        </w:tc>
        <w:tc>
          <w:tcPr>
            <w:tcW w:w="4990" w:type="dxa"/>
            <w:vAlign w:val="center"/>
          </w:tcPr>
          <w:p w14:paraId="7E812A01">
            <w:pPr>
              <w:spacing w:after="0"/>
              <w:rPr>
                <w:rFonts w:hint="default"/>
                <w:sz w:val="22"/>
                <w:lang w:val="pl-PL"/>
              </w:rPr>
            </w:pPr>
            <w:r>
              <w:rPr>
                <w:rFonts w:hint="default"/>
                <w:sz w:val="22"/>
                <w:lang w:val="pl-PL"/>
              </w:rPr>
              <w:t>Rok szkolny 2026/2027</w:t>
            </w:r>
          </w:p>
        </w:tc>
      </w:tr>
      <w:tr w14:paraId="7E812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00" w:type="dxa"/>
            <w:bottom w:w="80" w:type="dxa"/>
            <w:right w:w="100" w:type="dxa"/>
          </w:tblCellMar>
        </w:tblPrEx>
        <w:trPr>
          <w:jc w:val="center"/>
        </w:trPr>
        <w:tc>
          <w:tcPr>
            <w:tcW w:w="4989" w:type="dxa"/>
            <w:shd w:val="clear" w:color="auto" w:fill="F2F2F2"/>
            <w:vAlign w:val="center"/>
          </w:tcPr>
          <w:p w14:paraId="7E812A03">
            <w:pPr>
              <w:spacing w:after="0"/>
              <w:rPr>
                <w:sz w:val="22"/>
              </w:rPr>
            </w:pPr>
            <w:r>
              <w:rPr>
                <w:b/>
                <w:sz w:val="22"/>
              </w:rPr>
              <w:t>Miejsce wykonania zasadniczej części</w:t>
            </w:r>
          </w:p>
        </w:tc>
        <w:tc>
          <w:tcPr>
            <w:tcW w:w="4990" w:type="dxa"/>
            <w:vAlign w:val="center"/>
          </w:tcPr>
          <w:p w14:paraId="7E812A04">
            <w:pPr>
              <w:spacing w:after="0"/>
              <w:rPr>
                <w:rFonts w:hint="default"/>
                <w:sz w:val="22"/>
                <w:lang w:val="pl-PL"/>
              </w:rPr>
            </w:pPr>
            <w:r>
              <w:rPr>
                <w:rFonts w:hint="default"/>
                <w:sz w:val="22"/>
                <w:highlight w:val="yellow"/>
                <w:lang w:val="pl-PL"/>
              </w:rPr>
              <w:t>Podczas lekcji</w:t>
            </w:r>
          </w:p>
        </w:tc>
      </w:tr>
      <w:tr w14:paraId="7E812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00" w:type="dxa"/>
            <w:bottom w:w="80" w:type="dxa"/>
            <w:right w:w="100" w:type="dxa"/>
          </w:tblCellMar>
        </w:tblPrEx>
        <w:trPr>
          <w:jc w:val="center"/>
        </w:trPr>
        <w:tc>
          <w:tcPr>
            <w:tcW w:w="4989" w:type="dxa"/>
            <w:shd w:val="clear" w:color="auto" w:fill="F2F2F2"/>
            <w:vAlign w:val="center"/>
          </w:tcPr>
          <w:p w14:paraId="7E812A09">
            <w:pPr>
              <w:spacing w:after="0"/>
              <w:rPr>
                <w:sz w:val="22"/>
              </w:rPr>
            </w:pPr>
            <w:r>
              <w:rPr>
                <w:b/>
                <w:sz w:val="22"/>
              </w:rPr>
              <w:t>Ustalenia dotyczące prywatności i bezpieczeństwa</w:t>
            </w:r>
          </w:p>
        </w:tc>
        <w:tc>
          <w:tcPr>
            <w:tcW w:w="4990" w:type="dxa"/>
            <w:vAlign w:val="center"/>
          </w:tcPr>
          <w:p w14:paraId="7E812A0A">
            <w:pPr>
              <w:spacing w:after="0"/>
              <w:rPr>
                <w:rFonts w:hint="default"/>
                <w:sz w:val="22"/>
                <w:lang w:val="pl-PL"/>
              </w:rPr>
            </w:pPr>
            <w:r>
              <w:rPr>
                <w:rFonts w:hint="default"/>
                <w:sz w:val="22"/>
                <w:highlight w:val="yellow"/>
                <w:lang w:val="pl-PL"/>
              </w:rPr>
              <w:t>Zgodnie z zasadami w dokumencie</w:t>
            </w:r>
          </w:p>
        </w:tc>
      </w:tr>
    </w:tbl>
    <w:p w14:paraId="7E812A0C">
      <w:pPr>
        <w:pStyle w:val="3"/>
        <w:rPr>
          <w:rFonts w:ascii="Calibri" w:hAnsi="Calibri"/>
          <w:sz w:val="22"/>
          <w:szCs w:val="22"/>
        </w:rPr>
      </w:pPr>
      <w:r>
        <w:rPr>
          <w:sz w:val="22"/>
          <w:szCs w:val="22"/>
        </w:rPr>
        <w:t>Kryteria oceny doświadczenia</w:t>
      </w:r>
    </w:p>
    <w:tbl>
      <w:tblPr>
        <w:tblStyle w:val="12"/>
        <w:tblW w:w="9979" w:type="dxa"/>
        <w:jc w:val="center"/>
        <w:tblLayout w:type="fixed"/>
        <w:tblCellMar>
          <w:top w:w="0" w:type="dxa"/>
          <w:left w:w="108" w:type="dxa"/>
          <w:bottom w:w="0" w:type="dxa"/>
          <w:right w:w="108" w:type="dxa"/>
        </w:tblCellMar>
      </w:tblPr>
      <w:tblGrid>
        <w:gridCol w:w="4989"/>
        <w:gridCol w:w="4990"/>
      </w:tblGrid>
      <w:tr w14:paraId="7E812A0F">
        <w:tblPrEx>
          <w:tblCellMar>
            <w:top w:w="0" w:type="dxa"/>
            <w:left w:w="108" w:type="dxa"/>
            <w:bottom w:w="0" w:type="dxa"/>
            <w:right w:w="108" w:type="dxa"/>
          </w:tblCellMar>
        </w:tblPrEx>
        <w:trPr>
          <w:tblHeader/>
          <w:jc w:val="center"/>
        </w:trPr>
        <w:tc>
          <w:tcPr>
            <w:tcW w:w="4989"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7E812A0D">
            <w:pPr>
              <w:spacing w:after="0"/>
              <w:rPr>
                <w:sz w:val="22"/>
              </w:rPr>
            </w:pPr>
            <w:r>
              <w:rPr>
                <w:b/>
                <w:sz w:val="22"/>
              </w:rPr>
              <w:t>Kryterium</w:t>
            </w:r>
          </w:p>
        </w:tc>
        <w:tc>
          <w:tcPr>
            <w:tcW w:w="4990"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7E812A0E">
            <w:pPr>
              <w:spacing w:after="0"/>
              <w:rPr>
                <w:sz w:val="22"/>
              </w:rPr>
            </w:pPr>
            <w:r>
              <w:rPr>
                <w:b/>
                <w:sz w:val="22"/>
              </w:rPr>
              <w:t>Dowód osiągnięcia</w:t>
            </w:r>
          </w:p>
        </w:tc>
      </w:tr>
      <w:tr w14:paraId="7E812A12">
        <w:tblPrEx>
          <w:tblCellMar>
            <w:top w:w="0" w:type="dxa"/>
            <w:left w:w="108" w:type="dxa"/>
            <w:bottom w:w="0" w:type="dxa"/>
            <w:right w:w="108" w:type="dxa"/>
          </w:tblCellMar>
        </w:tblPrEx>
        <w:trPr>
          <w:jc w:val="center"/>
        </w:trPr>
        <w:tc>
          <w:tcPr>
            <w:tcW w:w="4989"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7E812A10">
            <w:pPr>
              <w:spacing w:after="0"/>
              <w:rPr>
                <w:sz w:val="22"/>
              </w:rPr>
            </w:pPr>
            <w:r>
              <w:rPr>
                <w:b/>
                <w:sz w:val="22"/>
              </w:rPr>
              <w:t>Poprawność merytoryczna</w:t>
            </w:r>
          </w:p>
        </w:tc>
        <w:tc>
          <w:tcPr>
            <w:tcW w:w="4990"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7E812A11">
            <w:pPr>
              <w:spacing w:after="0"/>
              <w:rPr>
                <w:sz w:val="22"/>
              </w:rPr>
            </w:pPr>
            <w:r>
              <w:rPr>
                <w:sz w:val="22"/>
              </w:rPr>
              <w:t>zgodność treści z wiedzą naukową i wymaganiami programu</w:t>
            </w:r>
          </w:p>
        </w:tc>
      </w:tr>
      <w:tr w14:paraId="7E812A15">
        <w:tblPrEx>
          <w:tblCellMar>
            <w:top w:w="0" w:type="dxa"/>
            <w:left w:w="108" w:type="dxa"/>
            <w:bottom w:w="0" w:type="dxa"/>
            <w:right w:w="108" w:type="dxa"/>
          </w:tblCellMar>
        </w:tblPrEx>
        <w:trPr>
          <w:jc w:val="center"/>
        </w:trPr>
        <w:tc>
          <w:tcPr>
            <w:tcW w:w="4989"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7E812A13">
            <w:pPr>
              <w:spacing w:after="0"/>
              <w:rPr>
                <w:sz w:val="22"/>
              </w:rPr>
            </w:pPr>
            <w:r>
              <w:rPr>
                <w:b/>
                <w:sz w:val="22"/>
              </w:rPr>
              <w:t>Praca ze źródłem</w:t>
            </w:r>
          </w:p>
        </w:tc>
        <w:tc>
          <w:tcPr>
            <w:tcW w:w="4990"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7E812A14">
            <w:pPr>
              <w:spacing w:after="0"/>
              <w:rPr>
                <w:sz w:val="22"/>
              </w:rPr>
            </w:pPr>
            <w:r>
              <w:rPr>
                <w:sz w:val="22"/>
              </w:rPr>
              <w:t>dobór wiarygodnego źródła, prawidłowe odczytanie informacji i podanie źródła</w:t>
            </w:r>
          </w:p>
        </w:tc>
      </w:tr>
      <w:tr w14:paraId="7E812A18">
        <w:tblPrEx>
          <w:tblCellMar>
            <w:top w:w="0" w:type="dxa"/>
            <w:left w:w="108" w:type="dxa"/>
            <w:bottom w:w="0" w:type="dxa"/>
            <w:right w:w="108" w:type="dxa"/>
          </w:tblCellMar>
        </w:tblPrEx>
        <w:trPr>
          <w:jc w:val="center"/>
        </w:trPr>
        <w:tc>
          <w:tcPr>
            <w:tcW w:w="4989"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7E812A16">
            <w:pPr>
              <w:spacing w:after="0"/>
              <w:rPr>
                <w:sz w:val="22"/>
              </w:rPr>
            </w:pPr>
            <w:r>
              <w:rPr>
                <w:b/>
                <w:sz w:val="22"/>
              </w:rPr>
              <w:t>Zastosowanie praktyczne</w:t>
            </w:r>
          </w:p>
        </w:tc>
        <w:tc>
          <w:tcPr>
            <w:tcW w:w="4990"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7E812A17">
            <w:pPr>
              <w:spacing w:after="0"/>
              <w:rPr>
                <w:sz w:val="22"/>
              </w:rPr>
            </w:pPr>
            <w:r>
              <w:rPr>
                <w:sz w:val="22"/>
              </w:rPr>
              <w:t>realistyczny plan, bezpieczne wykonanie, rozwiązanie odpowiadające problemowi</w:t>
            </w:r>
          </w:p>
        </w:tc>
      </w:tr>
      <w:tr w14:paraId="7E812A1B">
        <w:tblPrEx>
          <w:tblCellMar>
            <w:top w:w="0" w:type="dxa"/>
            <w:left w:w="108" w:type="dxa"/>
            <w:bottom w:w="0" w:type="dxa"/>
            <w:right w:w="108" w:type="dxa"/>
          </w:tblCellMar>
        </w:tblPrEx>
        <w:trPr>
          <w:jc w:val="center"/>
        </w:trPr>
        <w:tc>
          <w:tcPr>
            <w:tcW w:w="4989"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7E812A19">
            <w:pPr>
              <w:spacing w:after="0"/>
              <w:rPr>
                <w:sz w:val="22"/>
              </w:rPr>
            </w:pPr>
            <w:r>
              <w:rPr>
                <w:b/>
                <w:sz w:val="22"/>
              </w:rPr>
              <w:t>Rozumowanie i refleksja</w:t>
            </w:r>
          </w:p>
        </w:tc>
        <w:tc>
          <w:tcPr>
            <w:tcW w:w="4990"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7E812A1A">
            <w:pPr>
              <w:spacing w:after="0"/>
              <w:rPr>
                <w:sz w:val="22"/>
              </w:rPr>
            </w:pPr>
            <w:r>
              <w:rPr>
                <w:sz w:val="22"/>
              </w:rPr>
              <w:t>uzasadnienie decyzji, rozpoznanie ograniczeń, wskazanie możliwej poprawy</w:t>
            </w:r>
          </w:p>
        </w:tc>
      </w:tr>
      <w:tr w14:paraId="7E812A1E">
        <w:tblPrEx>
          <w:tblCellMar>
            <w:top w:w="0" w:type="dxa"/>
            <w:left w:w="108" w:type="dxa"/>
            <w:bottom w:w="0" w:type="dxa"/>
            <w:right w:w="108" w:type="dxa"/>
          </w:tblCellMar>
        </w:tblPrEx>
        <w:trPr>
          <w:jc w:val="center"/>
        </w:trPr>
        <w:tc>
          <w:tcPr>
            <w:tcW w:w="4989"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7E812A1C">
            <w:pPr>
              <w:spacing w:after="0"/>
              <w:rPr>
                <w:sz w:val="22"/>
              </w:rPr>
            </w:pPr>
            <w:r>
              <w:rPr>
                <w:b/>
                <w:sz w:val="22"/>
              </w:rPr>
              <w:t>Komunikacja i wkład</w:t>
            </w:r>
          </w:p>
        </w:tc>
        <w:tc>
          <w:tcPr>
            <w:tcW w:w="4990"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7E812A1D">
            <w:pPr>
              <w:spacing w:after="0"/>
              <w:rPr>
                <w:sz w:val="22"/>
              </w:rPr>
            </w:pPr>
            <w:r>
              <w:rPr>
                <w:sz w:val="22"/>
              </w:rPr>
              <w:t>jasny przekaz oraz udokumentowany wkład ucznia, bez oceniania osobowości</w:t>
            </w:r>
          </w:p>
        </w:tc>
      </w:tr>
    </w:tbl>
    <w:p w14:paraId="7E812A1F">
      <w:pPr>
        <w:rPr>
          <w:sz w:val="22"/>
        </w:rPr>
      </w:pPr>
      <w:r>
        <w:rPr>
          <w:b/>
          <w:sz w:val="22"/>
        </w:rPr>
        <w:t xml:space="preserve">Rubryka nie jest automatycznym przelicznikiem punktów na ocenę. </w:t>
      </w:r>
      <w:r>
        <w:rPr>
          <w:sz w:val="22"/>
        </w:rPr>
        <w:t>Poziom wykonania interpretuje się łącznie z klasowymi wymaganiami i zasadami statutu szkoły.</w:t>
      </w:r>
    </w:p>
    <w:p w14:paraId="7E812A20">
      <w:pPr>
        <w:pStyle w:val="2"/>
        <w:rPr>
          <w:rFonts w:ascii="Calibri" w:hAnsi="Calibri"/>
          <w:sz w:val="22"/>
          <w:szCs w:val="22"/>
        </w:rPr>
      </w:pPr>
      <w:r>
        <w:rPr>
          <w:sz w:val="22"/>
          <w:szCs w:val="22"/>
        </w:rPr>
        <w:t>8. Dostosowanie wymagań i wsparcie ucznia</w:t>
      </w:r>
    </w:p>
    <w:p w14:paraId="7E812A21">
      <w:pPr>
        <w:pStyle w:val="26"/>
        <w:rPr>
          <w:sz w:val="22"/>
        </w:rPr>
      </w:pPr>
      <w:r>
        <w:rPr>
          <w:sz w:val="22"/>
        </w:rPr>
        <w:t>dostosowanie może dotyczyć formy polecenia, czasu, liczby elementów zadania, sposobu odpowiedzi, materiałów wspierających i warunków wykonania;</w:t>
      </w:r>
    </w:p>
    <w:p w14:paraId="7E812A22">
      <w:pPr>
        <w:pStyle w:val="26"/>
        <w:rPr>
          <w:sz w:val="22"/>
        </w:rPr>
      </w:pPr>
      <w:r>
        <w:rPr>
          <w:sz w:val="22"/>
        </w:rPr>
        <w:t>nie oznacza automatycznego obniżenia celu kształcenia, lecz umożliwia uczniowi wykazanie wiedzy i umiejętności w dostępny sposób;</w:t>
      </w:r>
    </w:p>
    <w:p w14:paraId="7E812A23">
      <w:pPr>
        <w:pStyle w:val="26"/>
        <w:rPr>
          <w:sz w:val="22"/>
        </w:rPr>
      </w:pPr>
      <w:r>
        <w:rPr>
          <w:sz w:val="22"/>
        </w:rPr>
        <w:t>dla ucznia z orzeczeniem lub opinią uwzględnia się wskazania dokumentu oraz, gdy dotyczy, ustalenia IPET;</w:t>
      </w:r>
    </w:p>
    <w:p w14:paraId="7E812A24">
      <w:pPr>
        <w:pStyle w:val="26"/>
        <w:rPr>
          <w:sz w:val="22"/>
        </w:rPr>
      </w:pPr>
      <w:r>
        <w:rPr>
          <w:sz w:val="22"/>
        </w:rPr>
        <w:t>uczeń objęty pomocą psychologiczno-pedagogiczną bez opinii także może mieć dostosowane wymagania na podstawie rozpoznania nauczycieli i specjalistów;</w:t>
      </w:r>
    </w:p>
    <w:p w14:paraId="7E812A25">
      <w:pPr>
        <w:pStyle w:val="26"/>
        <w:rPr>
          <w:sz w:val="22"/>
        </w:rPr>
      </w:pPr>
      <w:r>
        <w:rPr>
          <w:sz w:val="22"/>
        </w:rPr>
        <w:t>materiały o przemocy, autoagresji, zaburzeniach psychicznych, dojrzewaniu i uzależnieniach realizuje się językiem bezpiecznym, bez epatowania szczegółami i bez wymuszania dyskusji osobistej.</w:t>
      </w:r>
    </w:p>
    <w:p w14:paraId="7E812A26">
      <w:pPr>
        <w:pStyle w:val="26"/>
        <w:numPr>
          <w:ilvl w:val="0"/>
          <w:numId w:val="0"/>
        </w:numPr>
        <w:ind w:left="312"/>
        <w:rPr>
          <w:sz w:val="22"/>
        </w:rPr>
      </w:pPr>
    </w:p>
    <w:tbl>
      <w:tblPr>
        <w:tblStyle w:val="38"/>
        <w:tblW w:w="99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80" w:type="dxa"/>
          <w:left w:w="100" w:type="dxa"/>
          <w:bottom w:w="80" w:type="dxa"/>
          <w:right w:w="100" w:type="dxa"/>
        </w:tblCellMar>
      </w:tblPr>
      <w:tblGrid>
        <w:gridCol w:w="4989"/>
        <w:gridCol w:w="4990"/>
      </w:tblGrid>
      <w:tr w14:paraId="7E812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00" w:type="dxa"/>
            <w:bottom w:w="80" w:type="dxa"/>
            <w:right w:w="100" w:type="dxa"/>
          </w:tblCellMar>
        </w:tblPrEx>
        <w:trPr>
          <w:jc w:val="center"/>
        </w:trPr>
        <w:tc>
          <w:tcPr>
            <w:tcW w:w="4989" w:type="dxa"/>
            <w:shd w:val="clear" w:color="auto" w:fill="F2F2F2"/>
            <w:vAlign w:val="center"/>
          </w:tcPr>
          <w:p w14:paraId="7E812A27">
            <w:pPr>
              <w:spacing w:after="0"/>
              <w:rPr>
                <w:sz w:val="22"/>
              </w:rPr>
            </w:pPr>
            <w:r>
              <w:rPr>
                <w:b/>
                <w:sz w:val="22"/>
              </w:rPr>
              <w:t>Data zatwierdzenia wersji końcowej</w:t>
            </w:r>
          </w:p>
        </w:tc>
        <w:tc>
          <w:tcPr>
            <w:tcW w:w="4990" w:type="dxa"/>
            <w:vAlign w:val="center"/>
          </w:tcPr>
          <w:p w14:paraId="7E812A28">
            <w:pPr>
              <w:spacing w:after="0"/>
              <w:rPr>
                <w:rFonts w:hint="default"/>
                <w:sz w:val="22"/>
                <w:lang w:val="pl-PL"/>
              </w:rPr>
            </w:pPr>
            <w:r>
              <w:rPr>
                <w:rFonts w:hint="default"/>
                <w:sz w:val="22"/>
                <w:highlight w:val="yellow"/>
                <w:lang w:val="pl-PL"/>
              </w:rPr>
              <w:t>26.08.2026r</w:t>
            </w:r>
          </w:p>
        </w:tc>
      </w:tr>
      <w:tr w14:paraId="7E812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00" w:type="dxa"/>
            <w:bottom w:w="80" w:type="dxa"/>
            <w:right w:w="100" w:type="dxa"/>
          </w:tblCellMar>
        </w:tblPrEx>
        <w:trPr>
          <w:jc w:val="center"/>
        </w:trPr>
        <w:tc>
          <w:tcPr>
            <w:tcW w:w="4989" w:type="dxa"/>
            <w:shd w:val="clear" w:color="auto" w:fill="F2F2F2"/>
            <w:vAlign w:val="center"/>
          </w:tcPr>
          <w:p w14:paraId="7E812A2A">
            <w:pPr>
              <w:spacing w:after="0"/>
              <w:rPr>
                <w:sz w:val="22"/>
              </w:rPr>
            </w:pPr>
            <w:r>
              <w:rPr>
                <w:b/>
                <w:sz w:val="22"/>
              </w:rPr>
              <w:t xml:space="preserve">Podpis nauczyciela </w:t>
            </w:r>
            <w:bookmarkStart w:id="0" w:name="_GoBack"/>
            <w:bookmarkEnd w:id="0"/>
          </w:p>
        </w:tc>
        <w:tc>
          <w:tcPr>
            <w:tcW w:w="4990" w:type="dxa"/>
            <w:vAlign w:val="center"/>
          </w:tcPr>
          <w:p w14:paraId="7E812A2B">
            <w:pPr>
              <w:spacing w:after="0"/>
              <w:rPr>
                <w:sz w:val="22"/>
                <w:highlight w:val="yellow"/>
              </w:rPr>
            </w:pPr>
          </w:p>
        </w:tc>
      </w:tr>
    </w:tbl>
    <w:p w14:paraId="7E812A2D">
      <w:pPr>
        <w:keepNext/>
        <w:rPr>
          <w:sz w:val="22"/>
        </w:rPr>
      </w:pPr>
    </w:p>
    <w:p w14:paraId="7E812A2E">
      <w:pPr>
        <w:rPr>
          <w:sz w:val="22"/>
        </w:rPr>
      </w:pPr>
    </w:p>
    <w:p w14:paraId="7E812A2F">
      <w:pPr>
        <w:rPr>
          <w:sz w:val="22"/>
        </w:rPr>
      </w:pPr>
    </w:p>
    <w:p w14:paraId="7E812A30">
      <w:pPr>
        <w:rPr>
          <w:sz w:val="22"/>
        </w:rPr>
      </w:pPr>
    </w:p>
    <w:p w14:paraId="7E812A31">
      <w:pPr>
        <w:rPr>
          <w:sz w:val="22"/>
        </w:rPr>
      </w:pPr>
    </w:p>
    <w:p w14:paraId="7E812A32">
      <w:pPr>
        <w:rPr>
          <w:sz w:val="22"/>
        </w:rPr>
      </w:pPr>
    </w:p>
    <w:p w14:paraId="7E812A33">
      <w:pPr>
        <w:rPr>
          <w:sz w:val="22"/>
        </w:rPr>
      </w:pPr>
    </w:p>
    <w:p w14:paraId="7E812A34">
      <w:pPr>
        <w:rPr>
          <w:sz w:val="22"/>
        </w:rPr>
      </w:pPr>
    </w:p>
    <w:p w14:paraId="7E812A35">
      <w:pPr>
        <w:rPr>
          <w:sz w:val="22"/>
        </w:rPr>
      </w:pPr>
    </w:p>
    <w:p w14:paraId="7E812A36">
      <w:pPr>
        <w:rPr>
          <w:sz w:val="22"/>
        </w:rPr>
      </w:pPr>
    </w:p>
    <w:p w14:paraId="7E812A37">
      <w:pPr>
        <w:rPr>
          <w:sz w:val="22"/>
        </w:rPr>
      </w:pPr>
    </w:p>
    <w:p w14:paraId="7E812A38">
      <w:pPr>
        <w:rPr>
          <w:sz w:val="22"/>
        </w:rPr>
      </w:pPr>
    </w:p>
    <w:p w14:paraId="7E812A39">
      <w:pPr>
        <w:rPr>
          <w:sz w:val="22"/>
        </w:rPr>
      </w:pPr>
    </w:p>
    <w:p w14:paraId="7E812A3C">
      <w:pPr>
        <w:jc w:val="center"/>
      </w:pPr>
      <w:r>
        <w:rPr>
          <w:b/>
          <w:sz w:val="18"/>
        </w:rPr>
        <w:t>© 2026 zdrowalekcja.pl</w:t>
      </w:r>
    </w:p>
    <w:p w14:paraId="7E812A3D">
      <w:pPr>
        <w:spacing w:after="0"/>
        <w:jc w:val="center"/>
      </w:pPr>
      <w:r>
        <w:rPr>
          <w:sz w:val="18"/>
        </w:rPr>
        <w:t>Materiał przeznaczony do wykorzystania przez nabywcę w pracy dydaktycznej. Dalsze rozpowszechnianie, publikowanie lub odsprzedaż wymagają zgody wydawcy.</w:t>
      </w:r>
    </w:p>
    <w:sectPr>
      <w:headerReference r:id="rId7" w:type="first"/>
      <w:footerReference r:id="rId10" w:type="first"/>
      <w:headerReference r:id="rId5" w:type="default"/>
      <w:footerReference r:id="rId8" w:type="default"/>
      <w:headerReference r:id="rId6" w:type="even"/>
      <w:footerReference r:id="rId9" w:type="even"/>
      <w:pgSz w:w="11906" w:h="16838"/>
      <w:pgMar w:top="935" w:right="964" w:bottom="935" w:left="964" w:header="425" w:footer="425" w:gutter="0"/>
      <w:cols w:space="708" w:num="1"/>
      <w:formProt w:val="0"/>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黑体">
    <w:altName w:val="SimSun"/>
    <w:panose1 w:val="00000000000000000000"/>
    <w:charset w:val="86"/>
    <w:family w:val="auto"/>
    <w:pitch w:val="default"/>
    <w:sig w:usb0="00000000" w:usb1="00000000" w:usb2="00000000" w:usb3="00000000" w:csb0="00000000" w:csb1="00000000"/>
  </w:font>
  <w:font w:name="Cambria">
    <w:panose1 w:val="02040503050406030204"/>
    <w:charset w:val="EE"/>
    <w:family w:val="roman"/>
    <w:pitch w:val="default"/>
    <w:sig w:usb0="E00006FF" w:usb1="420024FF" w:usb2="02000000" w:usb3="00000000" w:csb0="2000019F" w:csb1="00000000"/>
  </w:font>
  <w:font w:name="Cambria">
    <w:panose1 w:val="02040503050406030204"/>
    <w:charset w:val="00"/>
    <w:family w:val="auto"/>
    <w:pitch w:val="default"/>
    <w:sig w:usb0="E00006FF" w:usb1="420024FF" w:usb2="02000000" w:usb3="00000000" w:csb0="2000019F" w:csb1="00000000"/>
  </w:font>
  <w:font w:name="Calibri">
    <w:panose1 w:val="020F0502020204030204"/>
    <w:charset w:val="EE"/>
    <w:family w:val="swiss"/>
    <w:pitch w:val="default"/>
    <w:sig w:usb0="E4002EFF" w:usb1="C000247B" w:usb2="00000009" w:usb3="00000000" w:csb0="200001FF" w:csb1="00000000"/>
  </w:font>
  <w:font w:name="MS Mincho">
    <w:altName w:val="Yu Gothic UI"/>
    <w:panose1 w:val="02020609040205080304"/>
    <w:charset w:val="80"/>
    <w:family w:val="modern"/>
    <w:pitch w:val="default"/>
    <w:sig w:usb0="00000000" w:usb1="00000000" w:usb2="08000012" w:usb3="00000000" w:csb0="0002009F" w:csb1="00000000"/>
  </w:font>
  <w:font w:name="Courier">
    <w:altName w:val="Courier New"/>
    <w:panose1 w:val="02070409020205020404"/>
    <w:charset w:val="EE"/>
    <w:family w:val="roman"/>
    <w:pitch w:val="default"/>
    <w:sig w:usb0="00000000" w:usb1="00000000" w:usb2="00000000" w:usb3="00000000" w:csb0="00000000" w:csb1="00000000"/>
  </w:font>
  <w:font w:name="Lucida Sans">
    <w:altName w:val="Lucida Sans Unicode"/>
    <w:panose1 w:val="00000000000000000000"/>
    <w:charset w:val="00"/>
    <w:family w:val="roman"/>
    <w:pitch w:val="default"/>
    <w:sig w:usb0="00000000" w:usb1="00000000" w:usb2="00000000" w:usb3="00000000" w:csb0="00000000" w:csb1="00000000"/>
  </w:font>
  <w:font w:name="Liberation Sans">
    <w:panose1 w:val="020B0604020202020204"/>
    <w:charset w:val="EE"/>
    <w:family w:val="swiss"/>
    <w:pitch w:val="default"/>
    <w:sig w:usb0="E0000AFF" w:usb1="500078FF" w:usb2="00000021" w:usb3="00000000" w:csb0="600001BF" w:csb1="DFF70000"/>
  </w:font>
  <w:font w:name="Noto Sans SC">
    <w:altName w:val="Noto Sans"/>
    <w:panose1 w:val="00000000000000000000"/>
    <w:charset w:val="00"/>
    <w:family w:val="roman"/>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黑体">
    <w:altName w:val="SimSun"/>
    <w:panose1 w:val="00000000000000000000"/>
    <w:charset w:val="00"/>
    <w:family w:val="auto"/>
    <w:pitch w:val="default"/>
    <w:sig w:usb0="00000000" w:usb1="00000000" w:usb2="00000000" w:usb3="00000000" w:csb0="00000000" w:csb1="00000000"/>
  </w:font>
  <w:font w:name="Yu Gothic UI">
    <w:panose1 w:val="020B0500000000000000"/>
    <w:charset w:val="80"/>
    <w:family w:val="auto"/>
    <w:pitch w:val="default"/>
    <w:sig w:usb0="E00002FF" w:usb1="2AC7FDFF" w:usb2="00000016" w:usb3="00000000" w:csb0="2002009F" w:csb1="00000000"/>
  </w:font>
  <w:font w:name="Lucida Sans Unicode">
    <w:panose1 w:val="020B0602030504020204"/>
    <w:charset w:val="00"/>
    <w:family w:val="auto"/>
    <w:pitch w:val="default"/>
    <w:sig w:usb0="80001AFF" w:usb1="0000396B" w:usb2="00000000" w:usb3="00000000" w:csb0="200000BF" w:csb1="D7F70000"/>
  </w:font>
  <w:font w:name="Noto Sans">
    <w:panose1 w:val="020B0502040504020204"/>
    <w:charset w:val="00"/>
    <w:family w:val="auto"/>
    <w:pitch w:val="default"/>
    <w:sig w:usb0="E00002FF" w:usb1="4000201F" w:usb2="08000029" w:usb3="001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12A41">
    <w:pPr>
      <w:pStyle w:val="1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12A40">
    <w:pPr>
      <w:pStyle w:val="1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12A43">
    <w:pPr>
      <w:pStyle w:val="1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12A3F">
    <w:pPr>
      <w:pStyle w:val="1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12A3E">
    <w:pPr>
      <w:pStyle w:val="1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12A42">
    <w:pPr>
      <w:pStyle w:val="1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99C1FCF"/>
    <w:multiLevelType w:val="multilevel"/>
    <w:tmpl w:val="199C1FCF"/>
    <w:lvl w:ilvl="0" w:tentative="0">
      <w:start w:val="1"/>
      <w:numFmt w:val="decimal"/>
      <w:pStyle w:val="34"/>
      <w:lvlText w:val="%1."/>
      <w:lvlJc w:val="left"/>
      <w:pPr>
        <w:tabs>
          <w:tab w:val="left" w:pos="1080"/>
        </w:tabs>
        <w:ind w:left="1080" w:hanging="360"/>
      </w:p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1">
    <w:nsid w:val="1D341B50"/>
    <w:multiLevelType w:val="multilevel"/>
    <w:tmpl w:val="1D341B50"/>
    <w:lvl w:ilvl="0" w:tentative="0">
      <w:start w:val="1"/>
      <w:numFmt w:val="decimal"/>
      <w:pStyle w:val="32"/>
      <w:lvlText w:val="%1."/>
      <w:lvlJc w:val="left"/>
      <w:pPr>
        <w:tabs>
          <w:tab w:val="left" w:pos="360"/>
        </w:tabs>
        <w:ind w:left="360" w:hanging="360"/>
      </w:p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2">
    <w:nsid w:val="232321E5"/>
    <w:multiLevelType w:val="multilevel"/>
    <w:tmpl w:val="232321E5"/>
    <w:lvl w:ilvl="0" w:tentative="0">
      <w:start w:val="1"/>
      <w:numFmt w:val="bullet"/>
      <w:pStyle w:val="27"/>
      <w:lvlText w:val=""/>
      <w:lvlJc w:val="left"/>
      <w:pPr>
        <w:tabs>
          <w:tab w:val="left" w:pos="720"/>
        </w:tabs>
        <w:ind w:left="720" w:hanging="360"/>
      </w:pPr>
      <w:rPr>
        <w:rFonts w:hint="default" w:ascii="Symbol" w:hAnsi="Symbol" w:cs="Symbol"/>
      </w:r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3">
    <w:nsid w:val="2C8054FD"/>
    <w:multiLevelType w:val="multilevel"/>
    <w:tmpl w:val="2C8054FD"/>
    <w:lvl w:ilvl="0" w:tentative="0">
      <w:start w:val="1"/>
      <w:numFmt w:val="bullet"/>
      <w:pStyle w:val="28"/>
      <w:lvlText w:val=""/>
      <w:lvlJc w:val="left"/>
      <w:pPr>
        <w:tabs>
          <w:tab w:val="left" w:pos="1080"/>
        </w:tabs>
        <w:ind w:left="1080" w:hanging="360"/>
      </w:pPr>
      <w:rPr>
        <w:rFonts w:hint="default" w:ascii="Symbol" w:hAnsi="Symbol" w:cs="Symbol"/>
      </w:r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4">
    <w:nsid w:val="3C0E2E68"/>
    <w:multiLevelType w:val="multilevel"/>
    <w:tmpl w:val="3C0E2E68"/>
    <w:lvl w:ilvl="0" w:tentative="0">
      <w:start w:val="1"/>
      <w:numFmt w:val="bullet"/>
      <w:pStyle w:val="26"/>
      <w:lvlText w:val=""/>
      <w:lvlJc w:val="left"/>
      <w:pPr>
        <w:tabs>
          <w:tab w:val="left" w:pos="360"/>
        </w:tabs>
        <w:ind w:left="360" w:hanging="360"/>
      </w:pPr>
      <w:rPr>
        <w:rFonts w:hint="default" w:ascii="Symbol" w:hAnsi="Symbol" w:cs="Symbol"/>
      </w:r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5">
    <w:nsid w:val="545632FD"/>
    <w:multiLevelType w:val="multilevel"/>
    <w:tmpl w:val="545632FD"/>
    <w:lvl w:ilvl="0" w:tentative="0">
      <w:start w:val="1"/>
      <w:numFmt w:val="decimal"/>
      <w:pStyle w:val="33"/>
      <w:lvlText w:val="%1."/>
      <w:lvlJc w:val="left"/>
      <w:pPr>
        <w:tabs>
          <w:tab w:val="left" w:pos="720"/>
        </w:tabs>
        <w:ind w:left="720" w:hanging="360"/>
      </w:p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num w:numId="1">
    <w:abstractNumId w:val="4"/>
  </w:num>
  <w:num w:numId="2">
    <w:abstractNumId w:val="2"/>
  </w:num>
  <w:num w:numId="3">
    <w:abstractNumId w:val="3"/>
  </w:num>
  <w:num w:numId="4">
    <w:abstractNumId w:val="1"/>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autoHyphenation/>
  <w:hyphenationZone w:val="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20FC"/>
    <w:rsid w:val="001F3604"/>
    <w:rsid w:val="00A43568"/>
    <w:rsid w:val="00CE508C"/>
    <w:rsid w:val="00E020FC"/>
    <w:rsid w:val="221A136D"/>
  </w:rsids>
  <m:mathPr>
    <m:mathFont m:val="Cambria Math"/>
    <m:brkBin m:val="before"/>
    <m:brkBinSub m:val="--"/>
    <m:smallFrac m:val="0"/>
    <m:dispDef/>
    <m:lMargin m:val="0"/>
    <m:rMargin m:val="0"/>
    <m:defJc m:val="centerGroup"/>
    <m:wrapIndent m:val="1440"/>
    <m:intLim m:val="subSup"/>
    <m:naryLim m:val="undOvr"/>
  </m:mathPr>
  <w:themeFontLang w:val="en-US" w:eastAsia="ja-JP" w:bidi="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nhideWhenUsed="0" w:uiPriority="0" w:semiHidden="0"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uiPriority="99" w:semiHidden="0" w:name="List Bullet"/>
    <w:lsdException w:uiPriority="99" w:semiHidden="0" w:name="List Number"/>
    <w:lsdException w:qFormat="1" w:uiPriority="99" w:semiHidden="0" w:name="List 2"/>
    <w:lsdException w:qFormat="1" w:uiPriority="99" w:semiHidden="0" w:name="List 3"/>
    <w:lsdException w:uiPriority="99" w:name="List 4"/>
    <w:lsdException w:uiPriority="99" w:name="List 5"/>
    <w:lsdException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unhideWhenUsed="0" w:uiPriority="66" w:semiHidden="0" w:name="Medium List 2"/>
    <w:lsdException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unhideWhenUsed="0" w:uiPriority="66" w:semiHidden="0" w:name="Medium List 2 Accent 3"/>
    <w:lsdException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unhideWhenUsed="0" w:uiPriority="66" w:semiHidden="0" w:name="Medium List 2 Accent 4"/>
    <w:lsdException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uppressAutoHyphens/>
      <w:spacing w:after="60" w:line="259" w:lineRule="auto"/>
    </w:pPr>
    <w:rPr>
      <w:rFonts w:ascii="Calibri" w:hAnsi="Calibri" w:eastAsia="MS Mincho" w:cstheme="minorBidi"/>
      <w:color w:val="000000"/>
      <w:sz w:val="21"/>
      <w:szCs w:val="22"/>
      <w:lang w:val="en-US" w:eastAsia="en-US" w:bidi="ar-SA"/>
    </w:rPr>
  </w:style>
  <w:style w:type="paragraph" w:styleId="2">
    <w:name w:val="heading 1"/>
    <w:basedOn w:val="1"/>
    <w:next w:val="1"/>
    <w:link w:val="140"/>
    <w:qFormat/>
    <w:uiPriority w:val="9"/>
    <w:pPr>
      <w:keepNext/>
      <w:keepLines/>
      <w:spacing w:before="220" w:after="100"/>
      <w:outlineLvl w:val="0"/>
    </w:pPr>
    <w:rPr>
      <w:rFonts w:asciiTheme="majorHAnsi" w:hAnsiTheme="majorHAnsi" w:eastAsiaTheme="majorEastAsia" w:cstheme="majorBidi"/>
      <w:b/>
      <w:bCs/>
      <w:sz w:val="30"/>
      <w:szCs w:val="28"/>
    </w:rPr>
  </w:style>
  <w:style w:type="paragraph" w:styleId="3">
    <w:name w:val="heading 2"/>
    <w:basedOn w:val="1"/>
    <w:next w:val="1"/>
    <w:link w:val="141"/>
    <w:unhideWhenUsed/>
    <w:qFormat/>
    <w:uiPriority w:val="9"/>
    <w:pPr>
      <w:keepNext/>
      <w:keepLines/>
      <w:spacing w:before="160"/>
      <w:outlineLvl w:val="1"/>
    </w:pPr>
    <w:rPr>
      <w:rFonts w:asciiTheme="majorHAnsi" w:hAnsiTheme="majorHAnsi" w:eastAsiaTheme="majorEastAsia" w:cstheme="majorBidi"/>
      <w:b/>
      <w:bCs/>
      <w:sz w:val="24"/>
      <w:szCs w:val="26"/>
    </w:rPr>
  </w:style>
  <w:style w:type="paragraph" w:styleId="4">
    <w:name w:val="heading 3"/>
    <w:basedOn w:val="1"/>
    <w:next w:val="1"/>
    <w:link w:val="142"/>
    <w:unhideWhenUsed/>
    <w:qFormat/>
    <w:uiPriority w:val="9"/>
    <w:pPr>
      <w:keepNext/>
      <w:keepLines/>
      <w:spacing w:before="100" w:after="40"/>
      <w:outlineLvl w:val="2"/>
    </w:pPr>
    <w:rPr>
      <w:rFonts w:asciiTheme="majorHAnsi" w:hAnsiTheme="majorHAnsi" w:eastAsiaTheme="majorEastAsia" w:cstheme="majorBidi"/>
      <w:b/>
      <w:bCs/>
    </w:rPr>
  </w:style>
  <w:style w:type="paragraph" w:styleId="5">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ody Text"/>
    <w:basedOn w:val="1"/>
    <w:link w:val="145"/>
    <w:unhideWhenUsed/>
    <w:qFormat/>
    <w:uiPriority w:val="99"/>
    <w:pPr>
      <w:spacing w:after="120"/>
    </w:pPr>
  </w:style>
  <w:style w:type="paragraph" w:styleId="14">
    <w:name w:val="Body Text 2"/>
    <w:basedOn w:val="1"/>
    <w:link w:val="146"/>
    <w:unhideWhenUsed/>
    <w:qFormat/>
    <w:uiPriority w:val="99"/>
    <w:pPr>
      <w:spacing w:after="120" w:line="480" w:lineRule="auto"/>
    </w:pPr>
  </w:style>
  <w:style w:type="paragraph" w:styleId="15">
    <w:name w:val="Body Text 3"/>
    <w:basedOn w:val="1"/>
    <w:link w:val="147"/>
    <w:unhideWhenUsed/>
    <w:qFormat/>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9"/>
    <w:unhideWhenUsed/>
    <w:uiPriority w:val="99"/>
    <w:pPr>
      <w:tabs>
        <w:tab w:val="center" w:pos="4680"/>
        <w:tab w:val="right" w:pos="9360"/>
      </w:tabs>
      <w:spacing w:after="0" w:line="240" w:lineRule="auto"/>
    </w:pPr>
  </w:style>
  <w:style w:type="paragraph" w:styleId="19">
    <w:name w:val="header"/>
    <w:basedOn w:val="1"/>
    <w:next w:val="13"/>
    <w:link w:val="138"/>
    <w:unhideWhenUsed/>
    <w:uiPriority w:val="99"/>
    <w:pPr>
      <w:tabs>
        <w:tab w:val="center" w:pos="4680"/>
        <w:tab w:val="right" w:pos="9360"/>
      </w:tabs>
      <w:spacing w:after="0" w:line="240" w:lineRule="auto"/>
    </w:pPr>
  </w:style>
  <w:style w:type="character" w:styleId="20">
    <w:name w:val="Hyperlink"/>
    <w:qFormat/>
    <w:uiPriority w:val="0"/>
    <w:rPr>
      <w:color w:val="000080"/>
      <w:u w:val="single"/>
    </w:rPr>
  </w:style>
  <w:style w:type="paragraph" w:styleId="21">
    <w:name w:val="index heading"/>
    <w:basedOn w:val="22"/>
    <w:uiPriority w:val="0"/>
  </w:style>
  <w:style w:type="paragraph" w:customStyle="1" w:styleId="22">
    <w:name w:val="Nagłówek (user)"/>
    <w:basedOn w:val="1"/>
    <w:next w:val="13"/>
    <w:qFormat/>
    <w:uiPriority w:val="0"/>
    <w:pPr>
      <w:keepNext/>
      <w:spacing w:before="240" w:after="120"/>
    </w:pPr>
    <w:rPr>
      <w:rFonts w:ascii="Liberation Sans" w:hAnsi="Liberation Sans" w:eastAsia="Noto Sans SC" w:cs="Lucida Sans"/>
      <w:sz w:val="28"/>
      <w:szCs w:val="28"/>
    </w:rPr>
  </w:style>
  <w:style w:type="paragraph" w:styleId="23">
    <w:name w:val="List"/>
    <w:basedOn w:val="1"/>
    <w:unhideWhenUsed/>
    <w:qFormat/>
    <w:uiPriority w:val="99"/>
    <w:pPr>
      <w:ind w:left="360" w:hanging="360"/>
      <w:contextualSpacing/>
    </w:pPr>
  </w:style>
  <w:style w:type="paragraph" w:styleId="24">
    <w:name w:val="List 2"/>
    <w:basedOn w:val="1"/>
    <w:unhideWhenUsed/>
    <w:qFormat/>
    <w:uiPriority w:val="99"/>
    <w:pPr>
      <w:ind w:left="720" w:hanging="360"/>
      <w:contextualSpacing/>
    </w:pPr>
  </w:style>
  <w:style w:type="paragraph" w:styleId="25">
    <w:name w:val="List 3"/>
    <w:basedOn w:val="1"/>
    <w:unhideWhenUsed/>
    <w:qFormat/>
    <w:uiPriority w:val="99"/>
    <w:pPr>
      <w:ind w:left="1080" w:hanging="360"/>
      <w:contextualSpacing/>
    </w:pPr>
  </w:style>
  <w:style w:type="paragraph" w:styleId="26">
    <w:name w:val="List Bullet"/>
    <w:basedOn w:val="1"/>
    <w:unhideWhenUsed/>
    <w:uiPriority w:val="99"/>
    <w:pPr>
      <w:numPr>
        <w:ilvl w:val="0"/>
        <w:numId w:val="1"/>
      </w:numPr>
      <w:spacing w:after="30"/>
      <w:ind w:left="312" w:hanging="170"/>
      <w:contextualSpacing/>
    </w:pPr>
    <w:rPr>
      <w:sz w:val="20"/>
    </w:rPr>
  </w:style>
  <w:style w:type="paragraph" w:styleId="27">
    <w:name w:val="List Bullet 2"/>
    <w:basedOn w:val="1"/>
    <w:unhideWhenUsed/>
    <w:uiPriority w:val="99"/>
    <w:pPr>
      <w:numPr>
        <w:ilvl w:val="0"/>
        <w:numId w:val="2"/>
      </w:numPr>
      <w:contextualSpacing/>
    </w:pPr>
  </w:style>
  <w:style w:type="paragraph" w:styleId="28">
    <w:name w:val="List Bullet 3"/>
    <w:basedOn w:val="1"/>
    <w:unhideWhenUsed/>
    <w:qFormat/>
    <w:uiPriority w:val="99"/>
    <w:pPr>
      <w:numPr>
        <w:ilvl w:val="0"/>
        <w:numId w:val="3"/>
      </w:numPr>
      <w:contextualSpacing/>
    </w:pPr>
  </w:style>
  <w:style w:type="paragraph" w:styleId="29">
    <w:name w:val="List Continue"/>
    <w:basedOn w:val="1"/>
    <w:unhideWhenUsed/>
    <w:uiPriority w:val="99"/>
    <w:pPr>
      <w:spacing w:after="120"/>
      <w:ind w:left="360"/>
      <w:contextualSpacing/>
    </w:pPr>
  </w:style>
  <w:style w:type="paragraph" w:styleId="30">
    <w:name w:val="List Continue 2"/>
    <w:basedOn w:val="1"/>
    <w:unhideWhenUsed/>
    <w:uiPriority w:val="99"/>
    <w:pPr>
      <w:spacing w:after="120"/>
      <w:ind w:left="720"/>
      <w:contextualSpacing/>
    </w:pPr>
  </w:style>
  <w:style w:type="paragraph" w:styleId="31">
    <w:name w:val="List Continue 3"/>
    <w:basedOn w:val="1"/>
    <w:unhideWhenUsed/>
    <w:uiPriority w:val="99"/>
    <w:pPr>
      <w:spacing w:after="120"/>
      <w:ind w:left="1080"/>
      <w:contextualSpacing/>
    </w:pPr>
  </w:style>
  <w:style w:type="paragraph" w:styleId="32">
    <w:name w:val="List Number"/>
    <w:basedOn w:val="1"/>
    <w:unhideWhenUsed/>
    <w:uiPriority w:val="99"/>
    <w:pPr>
      <w:numPr>
        <w:ilvl w:val="0"/>
        <w:numId w:val="4"/>
      </w:numPr>
      <w:contextualSpacing/>
    </w:pPr>
  </w:style>
  <w:style w:type="paragraph" w:styleId="33">
    <w:name w:val="List Number 2"/>
    <w:basedOn w:val="1"/>
    <w:unhideWhenUsed/>
    <w:qFormat/>
    <w:uiPriority w:val="99"/>
    <w:pPr>
      <w:numPr>
        <w:ilvl w:val="0"/>
        <w:numId w:val="5"/>
      </w:numPr>
      <w:contextualSpacing/>
    </w:pPr>
  </w:style>
  <w:style w:type="paragraph" w:styleId="34">
    <w:name w:val="List Number 3"/>
    <w:basedOn w:val="1"/>
    <w:unhideWhenUsed/>
    <w:uiPriority w:val="99"/>
    <w:pPr>
      <w:numPr>
        <w:ilvl w:val="0"/>
        <w:numId w:val="6"/>
      </w:numPr>
      <w:contextualSpacing/>
    </w:pPr>
  </w:style>
  <w:style w:type="paragraph" w:styleId="35">
    <w:name w:val="macro"/>
    <w:link w:val="148"/>
    <w:unhideWhenUsed/>
    <w:qFormat/>
    <w:uiPriority w:val="99"/>
    <w:pPr>
      <w:tabs>
        <w:tab w:val="left" w:pos="576"/>
        <w:tab w:val="left" w:pos="1152"/>
        <w:tab w:val="left" w:pos="1728"/>
        <w:tab w:val="left" w:pos="2304"/>
        <w:tab w:val="left" w:pos="2880"/>
        <w:tab w:val="left" w:pos="3456"/>
        <w:tab w:val="left" w:pos="4032"/>
      </w:tabs>
      <w:suppressAutoHyphens/>
      <w:spacing w:after="200" w:line="276" w:lineRule="auto"/>
    </w:pPr>
    <w:rPr>
      <w:rFonts w:ascii="Courier" w:hAnsi="Courier" w:eastAsiaTheme="minorEastAsia" w:cstheme="minorBidi"/>
      <w:sz w:val="20"/>
      <w:szCs w:val="20"/>
      <w:lang w:val="en-US" w:eastAsia="en-US" w:bidi="ar-SA"/>
    </w:rPr>
  </w:style>
  <w:style w:type="character" w:styleId="36">
    <w:name w:val="Strong"/>
    <w:basedOn w:val="11"/>
    <w:qFormat/>
    <w:uiPriority w:val="22"/>
    <w:rPr>
      <w:b/>
      <w:bCs/>
    </w:rPr>
  </w:style>
  <w:style w:type="paragraph" w:styleId="37">
    <w:name w:val="Subtitle"/>
    <w:basedOn w:val="1"/>
    <w:next w:val="1"/>
    <w:link w:val="144"/>
    <w:qFormat/>
    <w:uiPriority w:val="11"/>
    <w:pPr>
      <w:keepNext/>
      <w:spacing w:after="160"/>
    </w:pPr>
    <w:rPr>
      <w:rFonts w:asciiTheme="majorHAnsi" w:hAnsiTheme="majorHAnsi" w:eastAsiaTheme="majorEastAsia" w:cstheme="majorBidi"/>
      <w:i/>
      <w:iCs/>
      <w:spacing w:val="15"/>
      <w:sz w:val="23"/>
      <w:szCs w:val="24"/>
    </w:rPr>
  </w:style>
  <w:style w:type="table" w:styleId="38">
    <w:name w:val="Table Grid"/>
    <w:basedOn w:val="1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39">
    <w:name w:val="Title"/>
    <w:basedOn w:val="1"/>
    <w:next w:val="1"/>
    <w:link w:val="143"/>
    <w:qFormat/>
    <w:uiPriority w:val="10"/>
    <w:pPr>
      <w:keepNext/>
      <w:spacing w:after="180" w:line="240" w:lineRule="auto"/>
      <w:contextualSpacing/>
    </w:pPr>
    <w:rPr>
      <w:rFonts w:asciiTheme="majorHAnsi" w:hAnsiTheme="majorHAnsi" w:eastAsiaTheme="majorEastAsia" w:cstheme="majorBidi"/>
      <w:b/>
      <w:spacing w:val="5"/>
      <w:kern w:val="2"/>
      <w:sz w:val="42"/>
      <w:szCs w:val="52"/>
    </w:rPr>
  </w:style>
  <w:style w:type="table" w:styleId="40">
    <w:name w:val="Light Shading"/>
    <w:basedOn w:val="12"/>
    <w:qFormat/>
    <w:uiPriority w:val="60"/>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41">
    <w:name w:val="Light Shading Accent 1"/>
    <w:basedOn w:val="12"/>
    <w:qFormat/>
    <w:uiPriority w:val="60"/>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42">
    <w:name w:val="Light Shading Accent 2"/>
    <w:basedOn w:val="12"/>
    <w:qFormat/>
    <w:uiPriority w:val="60"/>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3">
    <w:name w:val="Light Shading Accent 3"/>
    <w:basedOn w:val="12"/>
    <w:qFormat/>
    <w:uiPriority w:val="60"/>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4">
    <w:name w:val="Light Shading Accent 4"/>
    <w:basedOn w:val="12"/>
    <w:qFormat/>
    <w:uiPriority w:val="60"/>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5">
    <w:name w:val="Light Shading Accent 5"/>
    <w:basedOn w:val="12"/>
    <w:qFormat/>
    <w:uiPriority w:val="60"/>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6">
    <w:name w:val="Light Shading Accent 6"/>
    <w:basedOn w:val="12"/>
    <w:qFormat/>
    <w:uiPriority w:val="60"/>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7">
    <w:name w:val="Light List"/>
    <w:basedOn w:val="12"/>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8">
    <w:name w:val="Light List Accent 1"/>
    <w:basedOn w:val="12"/>
    <w:qFormat/>
    <w:uiPriority w:val="61"/>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9">
    <w:name w:val="Light List Accent 2"/>
    <w:basedOn w:val="12"/>
    <w:qFormat/>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50">
    <w:name w:val="Light List Accent 3"/>
    <w:basedOn w:val="12"/>
    <w:qFormat/>
    <w:uiPriority w:val="61"/>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51">
    <w:name w:val="Light List Accent 4"/>
    <w:basedOn w:val="12"/>
    <w:qFormat/>
    <w:uiPriority w:val="61"/>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2">
    <w:name w:val="Light List Accent 5"/>
    <w:basedOn w:val="12"/>
    <w:qFormat/>
    <w:uiPriority w:val="61"/>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3">
    <w:name w:val="Light List Accent 6"/>
    <w:basedOn w:val="12"/>
    <w:qFormat/>
    <w:uiPriority w:val="61"/>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4">
    <w:name w:val="Light Grid"/>
    <w:basedOn w:val="12"/>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5">
    <w:name w:val="Light Grid Accent 1"/>
    <w:basedOn w:val="12"/>
    <w:qFormat/>
    <w:uiPriority w:val="62"/>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6">
    <w:name w:val="Light Grid Accent 2"/>
    <w:basedOn w:val="12"/>
    <w:qFormat/>
    <w:uiPriority w:val="62"/>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7">
    <w:name w:val="Light Grid Accent 3"/>
    <w:basedOn w:val="12"/>
    <w:qFormat/>
    <w:uiPriority w:val="62"/>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8">
    <w:name w:val="Light Grid Accent 4"/>
    <w:basedOn w:val="12"/>
    <w:qFormat/>
    <w:uiPriority w:val="62"/>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9">
    <w:name w:val="Light Grid Accent 5"/>
    <w:basedOn w:val="12"/>
    <w:qFormat/>
    <w:uiPriority w:val="62"/>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60">
    <w:name w:val="Light Grid Accent 6"/>
    <w:basedOn w:val="12"/>
    <w:qFormat/>
    <w:uiPriority w:val="62"/>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61">
    <w:name w:val="Medium Shading 1"/>
    <w:basedOn w:val="12"/>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000000" w:themeColor="text1" w:sz="8" w:space="0"/>
          <w:left w:val="single" w:color="000000" w:themeColor="text1" w:sz="8" w:space="0"/>
          <w:bottom w:val="single" w:color="000000" w:themeColor="text1" w:sz="8" w:space="0"/>
          <w:right w:val="single" w:color="00000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62">
    <w:name w:val="Medium Shading 1 Accent 1"/>
    <w:basedOn w:val="12"/>
    <w:uiPriority w:val="63"/>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3">
    <w:name w:val="Medium Shading 1 Accent 2"/>
    <w:basedOn w:val="12"/>
    <w:qFormat/>
    <w:uiPriority w:val="63"/>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4">
    <w:name w:val="Medium Shading 1 Accent 3"/>
    <w:basedOn w:val="12"/>
    <w:qFormat/>
    <w:uiPriority w:val="63"/>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5">
    <w:name w:val="Medium Shading 1 Accent 4"/>
    <w:basedOn w:val="12"/>
    <w:qFormat/>
    <w:uiPriority w:val="63"/>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6">
    <w:name w:val="Medium Shading 1 Accent 5"/>
    <w:basedOn w:val="12"/>
    <w:qFormat/>
    <w:uiPriority w:val="63"/>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7">
    <w:name w:val="Medium Shading 1 Accent 6"/>
    <w:basedOn w:val="12"/>
    <w:qFormat/>
    <w:uiPriority w:val="63"/>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8">
    <w:name w:val="Medium Shading 2"/>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1"/>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2"/>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3"/>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Shading 2 Accent 4"/>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3">
    <w:name w:val="Medium Shading 2 Accent 5"/>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4">
    <w:name w:val="Medium Shading 2 Accent 6"/>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5">
    <w:name w:val="Medium List 1"/>
    <w:basedOn w:val="12"/>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6">
    <w:name w:val="Medium List 1 Accent 1"/>
    <w:basedOn w:val="12"/>
    <w:qFormat/>
    <w:uiPriority w:val="65"/>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7">
    <w:name w:val="Medium List 1 Accent 2"/>
    <w:basedOn w:val="12"/>
    <w:qFormat/>
    <w:uiPriority w:val="65"/>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8">
    <w:name w:val="Medium List 1 Accent 3"/>
    <w:basedOn w:val="12"/>
    <w:qFormat/>
    <w:uiPriority w:val="65"/>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9">
    <w:name w:val="Medium List 1 Accent 4"/>
    <w:basedOn w:val="12"/>
    <w:qFormat/>
    <w:uiPriority w:val="65"/>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80">
    <w:name w:val="Medium List 1 Accent 5"/>
    <w:basedOn w:val="12"/>
    <w:uiPriority w:val="65"/>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81">
    <w:name w:val="Medium List 1 Accent 6"/>
    <w:basedOn w:val="12"/>
    <w:uiPriority w:val="65"/>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82">
    <w:name w:val="Medium List 2"/>
    <w:basedOn w:val="12"/>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1"/>
    <w:basedOn w:val="1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2"/>
    <w:basedOn w:val="1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3"/>
    <w:basedOn w:val="12"/>
    <w:uiPriority w:val="66"/>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List 2 Accent 4"/>
    <w:basedOn w:val="12"/>
    <w:uiPriority w:val="66"/>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7">
    <w:name w:val="Medium List 2 Accent 5"/>
    <w:basedOn w:val="1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8">
    <w:name w:val="Medium List 2 Accent 6"/>
    <w:basedOn w:val="1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9">
    <w:name w:val="Medium Grid 1"/>
    <w:basedOn w:val="12"/>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000000" w:themeColor="text1"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90">
    <w:name w:val="Medium Grid 1 Accent 1"/>
    <w:basedOn w:val="12"/>
    <w:uiPriority w:val="67"/>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4F81BD" w:themeColor="accent1"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91">
    <w:name w:val="Medium Grid 1 Accent 2"/>
    <w:basedOn w:val="12"/>
    <w:qFormat/>
    <w:uiPriority w:val="67"/>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0504D" w:themeColor="accent2"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92">
    <w:name w:val="Medium Grid 1 Accent 3"/>
    <w:basedOn w:val="12"/>
    <w:uiPriority w:val="67"/>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9BBB59" w:themeColor="accent3"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3">
    <w:name w:val="Medium Grid 1 Accent 4"/>
    <w:basedOn w:val="12"/>
    <w:uiPriority w:val="67"/>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8064A2" w:themeColor="accent4"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4">
    <w:name w:val="Medium Grid 1 Accent 5"/>
    <w:basedOn w:val="12"/>
    <w:qFormat/>
    <w:uiPriority w:val="67"/>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4BACC6" w:themeColor="accent5"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5">
    <w:name w:val="Medium Grid 1 Accent 6"/>
    <w:basedOn w:val="12"/>
    <w:qFormat/>
    <w:uiPriority w:val="67"/>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79646" w:themeColor="accent6"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6">
    <w:name w:val="Medium Grid 2"/>
    <w:basedOn w:val="1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7">
    <w:name w:val="Medium Grid 2 Accent 1"/>
    <w:basedOn w:val="1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8">
    <w:name w:val="Medium Grid 2 Accent 2"/>
    <w:basedOn w:val="1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9">
    <w:name w:val="Medium Grid 2 Accent 3"/>
    <w:basedOn w:val="1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100">
    <w:name w:val="Medium Grid 2 Accent 4"/>
    <w:basedOn w:val="1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101">
    <w:name w:val="Medium Grid 2 Accent 5"/>
    <w:basedOn w:val="1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102">
    <w:name w:val="Medium Grid 2 Accent 6"/>
    <w:basedOn w:val="1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3">
    <w:name w:val="Medium Grid 3"/>
    <w:basedOn w:val="1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4">
    <w:name w:val="Medium Grid 3 Accent 1"/>
    <w:basedOn w:val="1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5">
    <w:name w:val="Medium Grid 3 Accent 2"/>
    <w:basedOn w:val="1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6">
    <w:name w:val="Medium Grid 3 Accent 3"/>
    <w:basedOn w:val="1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7">
    <w:name w:val="Medium Grid 3 Accent 4"/>
    <w:basedOn w:val="1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8">
    <w:name w:val="Medium Grid 3 Accent 5"/>
    <w:basedOn w:val="1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9">
    <w:name w:val="Medium Grid 3 Accent 6"/>
    <w:basedOn w:val="1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10">
    <w:name w:val="Dark List"/>
    <w:basedOn w:val="12"/>
    <w:qFormat/>
    <w:uiPriority w:val="70"/>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12"/>
    <w:qFormat/>
    <w:uiPriority w:val="70"/>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12">
    <w:name w:val="Dark List Accent 2"/>
    <w:basedOn w:val="12"/>
    <w:qFormat/>
    <w:uiPriority w:val="70"/>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3">
    <w:name w:val="Dark List Accent 3"/>
    <w:basedOn w:val="12"/>
    <w:qFormat/>
    <w:uiPriority w:val="70"/>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12"/>
    <w:qFormat/>
    <w:uiPriority w:val="70"/>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12"/>
    <w:qFormat/>
    <w:uiPriority w:val="70"/>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12"/>
    <w:qFormat/>
    <w:uiPriority w:val="70"/>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7">
    <w:name w:val="Colorful Shading"/>
    <w:basedOn w:val="12"/>
    <w:qFormat/>
    <w:uiPriority w:val="71"/>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1"/>
    <w:basedOn w:val="12"/>
    <w:qFormat/>
    <w:uiPriority w:val="71"/>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2"/>
    <w:basedOn w:val="12"/>
    <w:qFormat/>
    <w:uiPriority w:val="71"/>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3"/>
    <w:basedOn w:val="12"/>
    <w:qFormat/>
    <w:uiPriority w:val="71"/>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1">
    <w:name w:val="Colorful Shading Accent 4"/>
    <w:basedOn w:val="12"/>
    <w:qFormat/>
    <w:uiPriority w:val="71"/>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2">
    <w:name w:val="Colorful Shading Accent 5"/>
    <w:basedOn w:val="12"/>
    <w:qFormat/>
    <w:uiPriority w:val="71"/>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3">
    <w:name w:val="Colorful Shading Accent 6"/>
    <w:basedOn w:val="12"/>
    <w:qFormat/>
    <w:uiPriority w:val="71"/>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4">
    <w:name w:val="Colorful List"/>
    <w:basedOn w:val="12"/>
    <w:qFormat/>
    <w:uiPriority w:val="72"/>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5">
    <w:name w:val="Colorful List Accent 1"/>
    <w:basedOn w:val="12"/>
    <w:qFormat/>
    <w:uiPriority w:val="72"/>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6">
    <w:name w:val="Colorful List Accent 2"/>
    <w:basedOn w:val="12"/>
    <w:qFormat/>
    <w:uiPriority w:val="72"/>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7">
    <w:name w:val="Colorful List Accent 3"/>
    <w:basedOn w:val="12"/>
    <w:qFormat/>
    <w:uiPriority w:val="72"/>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8">
    <w:name w:val="Colorful List Accent 4"/>
    <w:basedOn w:val="12"/>
    <w:qFormat/>
    <w:uiPriority w:val="72"/>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9">
    <w:name w:val="Colorful List Accent 5"/>
    <w:basedOn w:val="12"/>
    <w:qFormat/>
    <w:uiPriority w:val="72"/>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30">
    <w:name w:val="Colorful List Accent 6"/>
    <w:basedOn w:val="12"/>
    <w:qFormat/>
    <w:uiPriority w:val="72"/>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31">
    <w:name w:val="Colorful Grid"/>
    <w:basedOn w:val="1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32">
    <w:name w:val="Colorful Grid Accent 1"/>
    <w:basedOn w:val="1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3">
    <w:name w:val="Colorful Grid Accent 2"/>
    <w:basedOn w:val="1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4">
    <w:name w:val="Colorful Grid Accent 3"/>
    <w:basedOn w:val="1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5">
    <w:name w:val="Colorful Grid Accent 4"/>
    <w:basedOn w:val="1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6">
    <w:name w:val="Colorful Grid Accent 5"/>
    <w:basedOn w:val="1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7">
    <w:name w:val="Colorful Grid Accent 6"/>
    <w:basedOn w:val="1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8">
    <w:name w:val="Nagłówek Znak"/>
    <w:basedOn w:val="11"/>
    <w:link w:val="19"/>
    <w:qFormat/>
    <w:uiPriority w:val="99"/>
  </w:style>
  <w:style w:type="character" w:customStyle="1" w:styleId="139">
    <w:name w:val="Stopka Znak"/>
    <w:basedOn w:val="11"/>
    <w:link w:val="18"/>
    <w:qFormat/>
    <w:uiPriority w:val="99"/>
  </w:style>
  <w:style w:type="character" w:customStyle="1" w:styleId="140">
    <w:name w:val="Nagłówek 1 Znak"/>
    <w:basedOn w:val="11"/>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141">
    <w:name w:val="Nagłówek 2 Znak"/>
    <w:basedOn w:val="11"/>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2">
    <w:name w:val="Nagłówek 3 Znak"/>
    <w:basedOn w:val="11"/>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3">
    <w:name w:val="Tytuł Znak"/>
    <w:basedOn w:val="11"/>
    <w:link w:val="39"/>
    <w:qFormat/>
    <w:uiPriority w:val="10"/>
    <w:rPr>
      <w:rFonts w:asciiTheme="majorHAnsi" w:hAnsiTheme="majorHAnsi" w:eastAsiaTheme="majorEastAsia" w:cstheme="majorBidi"/>
      <w:color w:val="17375E" w:themeColor="text2" w:themeShade="BF"/>
      <w:spacing w:val="5"/>
      <w:kern w:val="2"/>
      <w:sz w:val="52"/>
      <w:szCs w:val="52"/>
    </w:rPr>
  </w:style>
  <w:style w:type="character" w:customStyle="1" w:styleId="144">
    <w:name w:val="Podtytuł Znak"/>
    <w:basedOn w:val="11"/>
    <w:link w:val="37"/>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character" w:customStyle="1" w:styleId="145">
    <w:name w:val="Tekst podstawowy Znak"/>
    <w:basedOn w:val="11"/>
    <w:link w:val="13"/>
    <w:qFormat/>
    <w:uiPriority w:val="99"/>
  </w:style>
  <w:style w:type="character" w:customStyle="1" w:styleId="146">
    <w:name w:val="Tekst podstawowy 2 Znak"/>
    <w:basedOn w:val="11"/>
    <w:link w:val="14"/>
    <w:qFormat/>
    <w:uiPriority w:val="99"/>
  </w:style>
  <w:style w:type="character" w:customStyle="1" w:styleId="147">
    <w:name w:val="Tekst podstawowy 3 Znak"/>
    <w:basedOn w:val="11"/>
    <w:link w:val="15"/>
    <w:qFormat/>
    <w:uiPriority w:val="99"/>
    <w:rPr>
      <w:sz w:val="16"/>
      <w:szCs w:val="16"/>
    </w:rPr>
  </w:style>
  <w:style w:type="character" w:customStyle="1" w:styleId="148">
    <w:name w:val="Tekst makra Znak"/>
    <w:basedOn w:val="11"/>
    <w:link w:val="35"/>
    <w:qFormat/>
    <w:uiPriority w:val="99"/>
    <w:rPr>
      <w:rFonts w:ascii="Courier" w:hAnsi="Courier"/>
      <w:sz w:val="20"/>
      <w:szCs w:val="20"/>
    </w:rPr>
  </w:style>
  <w:style w:type="character" w:customStyle="1" w:styleId="149">
    <w:name w:val="Cytat Znak"/>
    <w:basedOn w:val="11"/>
    <w:link w:val="150"/>
    <w:qFormat/>
    <w:uiPriority w:val="29"/>
    <w:rPr>
      <w:i/>
      <w:iCs/>
      <w:color w:val="000000" w:themeColor="text1"/>
      <w14:textFill>
        <w14:solidFill>
          <w14:schemeClr w14:val="tx1"/>
        </w14:solidFill>
      </w14:textFill>
    </w:rPr>
  </w:style>
  <w:style w:type="paragraph" w:styleId="150">
    <w:name w:val="Quote"/>
    <w:basedOn w:val="1"/>
    <w:next w:val="1"/>
    <w:link w:val="149"/>
    <w:qFormat/>
    <w:uiPriority w:val="29"/>
    <w:rPr>
      <w:i/>
      <w:iCs/>
      <w:color w:val="000000" w:themeColor="text1"/>
      <w14:textFill>
        <w14:solidFill>
          <w14:schemeClr w14:val="tx1"/>
        </w14:solidFill>
      </w14:textFill>
    </w:rPr>
  </w:style>
  <w:style w:type="character" w:customStyle="1" w:styleId="151">
    <w:name w:val="Nagłówek 4 Znak"/>
    <w:basedOn w:val="11"/>
    <w:link w:val="5"/>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Nagłówek 5 Znak"/>
    <w:basedOn w:val="11"/>
    <w:link w:val="6"/>
    <w:semiHidden/>
    <w:qFormat/>
    <w:uiPriority w:val="9"/>
    <w:rPr>
      <w:rFonts w:asciiTheme="majorHAnsi" w:hAnsiTheme="majorHAnsi" w:eastAsiaTheme="majorEastAsia" w:cstheme="majorBidi"/>
      <w:color w:val="254061" w:themeColor="accent1" w:themeShade="80"/>
    </w:rPr>
  </w:style>
  <w:style w:type="character" w:customStyle="1" w:styleId="153">
    <w:name w:val="Nagłówek 6 Znak"/>
    <w:basedOn w:val="11"/>
    <w:link w:val="7"/>
    <w:semiHidden/>
    <w:qFormat/>
    <w:uiPriority w:val="9"/>
    <w:rPr>
      <w:rFonts w:asciiTheme="majorHAnsi" w:hAnsiTheme="majorHAnsi" w:eastAsiaTheme="majorEastAsia" w:cstheme="majorBidi"/>
      <w:i/>
      <w:iCs/>
      <w:color w:val="254061" w:themeColor="accent1" w:themeShade="80"/>
    </w:rPr>
  </w:style>
  <w:style w:type="character" w:customStyle="1" w:styleId="154">
    <w:name w:val="Nagłówek 7 Znak"/>
    <w:basedOn w:val="11"/>
    <w:link w:val="8"/>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Nagłówek 8 Znak"/>
    <w:basedOn w:val="11"/>
    <w:link w:val="9"/>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Nagłówek 9 Znak"/>
    <w:basedOn w:val="11"/>
    <w:link w:val="10"/>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customStyle="1" w:styleId="157">
    <w:name w:val="Cytat intensywny Znak"/>
    <w:basedOn w:val="11"/>
    <w:link w:val="158"/>
    <w:qFormat/>
    <w:uiPriority w:val="30"/>
    <w:rPr>
      <w:b/>
      <w:bCs/>
      <w:i/>
      <w:iCs/>
      <w:color w:val="4F81BD" w:themeColor="accent1"/>
      <w14:textFill>
        <w14:solidFill>
          <w14:schemeClr w14:val="accent1"/>
        </w14:solidFill>
      </w14:textFill>
    </w:rPr>
  </w:style>
  <w:style w:type="paragraph" w:styleId="158">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9">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1"/>
    <w:qFormat/>
    <w:uiPriority w:val="21"/>
    <w:rPr>
      <w:b/>
      <w:bCs/>
      <w:i/>
      <w:iCs/>
      <w:color w:val="4F81BD" w:themeColor="accent1"/>
      <w14:textFill>
        <w14:solidFill>
          <w14:schemeClr w14:val="accent1"/>
        </w14:solidFill>
      </w14:textFill>
    </w:rPr>
  </w:style>
  <w:style w:type="character" w:customStyle="1" w:styleId="161">
    <w:name w:val="Subtle Reference"/>
    <w:basedOn w:val="11"/>
    <w:qFormat/>
    <w:uiPriority w:val="31"/>
    <w:rPr>
      <w:smallCaps/>
      <w:color w:val="C0504D" w:themeColor="accent2"/>
      <w:u w:val="single"/>
      <w14:textFill>
        <w14:solidFill>
          <w14:schemeClr w14:val="accent2"/>
        </w14:solidFill>
      </w14:textFill>
    </w:rPr>
  </w:style>
  <w:style w:type="character" w:customStyle="1" w:styleId="162">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1"/>
    <w:qFormat/>
    <w:uiPriority w:val="33"/>
    <w:rPr>
      <w:b/>
      <w:bCs/>
      <w:smallCaps/>
      <w:spacing w:val="5"/>
    </w:rPr>
  </w:style>
  <w:style w:type="paragraph" w:customStyle="1" w:styleId="164">
    <w:name w:val="Indeks"/>
    <w:basedOn w:val="1"/>
    <w:qFormat/>
    <w:uiPriority w:val="0"/>
    <w:pPr>
      <w:suppressLineNumbers/>
    </w:pPr>
    <w:rPr>
      <w:rFonts w:cs="Lucida Sans"/>
    </w:rPr>
  </w:style>
  <w:style w:type="paragraph" w:customStyle="1" w:styleId="165">
    <w:name w:val="Indeks (user)"/>
    <w:basedOn w:val="1"/>
    <w:qFormat/>
    <w:uiPriority w:val="0"/>
    <w:pPr>
      <w:suppressLineNumbers/>
    </w:pPr>
    <w:rPr>
      <w:rFonts w:cs="Lucida Sans"/>
    </w:rPr>
  </w:style>
  <w:style w:type="paragraph" w:customStyle="1" w:styleId="166">
    <w:name w:val="Główka i stopka (user)"/>
    <w:basedOn w:val="1"/>
    <w:qFormat/>
    <w:uiPriority w:val="0"/>
  </w:style>
  <w:style w:type="paragraph" w:customStyle="1" w:styleId="167">
    <w:name w:val="Główka i stopka"/>
    <w:basedOn w:val="1"/>
    <w:qFormat/>
    <w:uiPriority w:val="0"/>
  </w:style>
  <w:style w:type="paragraph" w:styleId="168">
    <w:name w:val="No Spacing"/>
    <w:qFormat/>
    <w:uiPriority w:val="1"/>
    <w:pPr>
      <w:suppressAutoHyphens/>
    </w:pPr>
    <w:rPr>
      <w:rFonts w:asciiTheme="minorHAnsi" w:hAnsiTheme="minorHAnsi" w:eastAsiaTheme="minorEastAsia" w:cstheme="minorBidi"/>
      <w:sz w:val="22"/>
      <w:szCs w:val="22"/>
      <w:lang w:val="en-US" w:eastAsia="en-US" w:bidi="ar-SA"/>
    </w:rPr>
  </w:style>
  <w:style w:type="paragraph" w:styleId="169">
    <w:name w:val="List Paragraph"/>
    <w:basedOn w:val="1"/>
    <w:qFormat/>
    <w:uiPriority w:val="34"/>
    <w:pPr>
      <w:ind w:left="720"/>
      <w:contextualSpacing/>
    </w:pPr>
  </w:style>
  <w:style w:type="paragraph" w:customStyle="1" w:styleId="170">
    <w:name w:val="TOC Heading"/>
    <w:basedOn w:val="2"/>
    <w:next w:val="1"/>
    <w:semiHidden/>
    <w:unhideWhenUsed/>
    <w:qFormat/>
    <w:uiPriority w:val="39"/>
    <w:pPr>
      <w:outlineLvl w:val="9"/>
    </w:pPr>
  </w:style>
  <w:style w:type="paragraph" w:customStyle="1" w:styleId="171">
    <w:name w:val="Instrukcja krok"/>
    <w:basedOn w:val="1"/>
    <w:qFormat/>
    <w:uiPriority w:val="0"/>
    <w:rPr>
      <w:sz w:val="20"/>
    </w:rPr>
  </w:style>
  <w:style w:type="paragraph" w:customStyle="1" w:styleId="172">
    <w:name w:val="Zawartość tabeli"/>
    <w:basedOn w:val="1"/>
    <w:qFormat/>
    <w:uiPriority w:val="0"/>
    <w:pPr>
      <w:widowControl w:val="0"/>
      <w:suppressLineNumbers/>
    </w:pPr>
  </w:style>
  <w:style w:type="paragraph" w:customStyle="1" w:styleId="173">
    <w:name w:val="Nagłówek tabeli"/>
    <w:basedOn w:val="172"/>
    <w:qFormat/>
    <w:uiPriority w:val="0"/>
    <w:pPr>
      <w:jc w:val="center"/>
    </w:pPr>
    <w:rPr>
      <w:b/>
      <w:bCs/>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na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8</Pages>
  <Words>2655</Words>
  <Characters>18228</Characters>
  <Lines>151</Lines>
  <Paragraphs>42</Paragraphs>
  <TotalTime>24</TotalTime>
  <ScaleCrop>false</ScaleCrop>
  <LinksUpToDate>false</LinksUpToDate>
  <CharactersWithSpaces>20644</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zdrowalekcja.pl</dc:creator>
  <dc:description>Stan prawny na 23 lipca 2026 r.</dc:description>
  <cp:keywords>edukacja zdrowotna wymagania edukacyjne zasady oceniania szkoła podstawowa</cp:keywords>
  <cp:lastModifiedBy>Nauczyciel</cp:lastModifiedBy>
  <cp:lastPrinted>2026-08-26T08:45:41Z</cp:lastPrinted>
  <dcterms:modified xsi:type="dcterms:W3CDTF">2026-08-26T09:01:04Z</dcterms:modified>
  <dc:subject>Wymagania edukacyjne i zasady oceniania z obowiązkowej edukacji zdrowotnej</dc:subject>
  <dc:title>Edukacja zdrowotna – wymagania edukacyjne i zasady oceniania – klasa V</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eyJoZGlkIjoiMjcwZmE1OTYzNDkzNDhmNDgwNzMwODUxNzdlMGQyMjAifQ==</vt:lpwstr>
  </property>
  <property fmtid="{D5CDD505-2E9C-101B-9397-08002B2CF9AE}" pid="3" name="KSOProductBuildVer">
    <vt:lpwstr>1045-12.1.0.28032</vt:lpwstr>
  </property>
  <property fmtid="{D5CDD505-2E9C-101B-9397-08002B2CF9AE}" pid="4" name="ICV">
    <vt:lpwstr>EE9F1935166E45A48586AFD934A47F58_13</vt:lpwstr>
  </property>
</Properties>
</file>