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75A0">
        <w:rPr>
          <w:rFonts w:ascii="Arial" w:hAnsi="Arial" w:cs="Arial"/>
          <w:b/>
          <w:bCs/>
          <w:sz w:val="24"/>
          <w:szCs w:val="24"/>
        </w:rPr>
        <w:t>Załącznik nr 2</w:t>
      </w:r>
    </w:p>
    <w:p w:rsidR="007175A0" w:rsidRPr="007175A0" w:rsidRDefault="00EB1ACE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</w:t>
      </w:r>
      <w:r w:rsidR="007175A0" w:rsidRPr="007175A0">
        <w:rPr>
          <w:rFonts w:ascii="Arial" w:hAnsi="Arial" w:cs="Arial"/>
          <w:b/>
          <w:bCs/>
          <w:sz w:val="24"/>
          <w:szCs w:val="24"/>
        </w:rPr>
        <w:t xml:space="preserve"> Uchwały Nr XXIX/267/2017</w:t>
      </w: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75A0">
        <w:rPr>
          <w:rFonts w:ascii="Arial" w:hAnsi="Arial" w:cs="Arial"/>
          <w:b/>
          <w:bCs/>
          <w:sz w:val="24"/>
          <w:szCs w:val="24"/>
        </w:rPr>
        <w:t>Rady Gminy Skąpe</w:t>
      </w:r>
      <w:bookmarkStart w:id="0" w:name="_GoBack"/>
      <w:bookmarkEnd w:id="0"/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75A0">
        <w:rPr>
          <w:rFonts w:ascii="Arial" w:hAnsi="Arial" w:cs="Arial"/>
          <w:b/>
          <w:bCs/>
          <w:sz w:val="24"/>
          <w:szCs w:val="24"/>
        </w:rPr>
        <w:t>z dnia 26 maja 2017 roku</w:t>
      </w: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75A0">
        <w:rPr>
          <w:rFonts w:ascii="Arial" w:hAnsi="Arial" w:cs="Arial"/>
          <w:b/>
          <w:bCs/>
          <w:sz w:val="24"/>
          <w:szCs w:val="24"/>
        </w:rPr>
        <w:t>Objaśnienia do uchwały w sprawie uchwalenia Wieloletniej Prognozy Finansowej Gminy Skąpe na lata 2017 - 2027</w:t>
      </w: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175A0">
        <w:rPr>
          <w:rFonts w:ascii="Arial" w:hAnsi="Arial" w:cs="Arial"/>
          <w:color w:val="000000"/>
          <w:sz w:val="24"/>
          <w:szCs w:val="24"/>
        </w:rPr>
        <w:t>Zaktualizowano załącznik nr 1 w związku ze zmianami w budżecie w roku 2017</w:t>
      </w:r>
      <w:r w:rsidRPr="007175A0">
        <w:rPr>
          <w:rFonts w:ascii="Arial" w:hAnsi="Arial" w:cs="Arial"/>
          <w:color w:val="000000"/>
          <w:sz w:val="24"/>
          <w:szCs w:val="24"/>
        </w:rPr>
        <w:br/>
        <w:t>oraz planami na kolejne lata, w szczególności w roku 2020 zwiększono planowane wydatki na obsługę długu.</w:t>
      </w: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175A0">
        <w:rPr>
          <w:rFonts w:ascii="Arial" w:hAnsi="Arial" w:cs="Arial"/>
          <w:color w:val="000000"/>
          <w:sz w:val="24"/>
          <w:szCs w:val="24"/>
        </w:rPr>
        <w:tab/>
      </w: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175A0" w:rsidRPr="007175A0" w:rsidRDefault="007175A0" w:rsidP="007175A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/>
    <w:sectPr w:rsidR="007D07F4" w:rsidSect="00AB7D8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7F"/>
    <w:rsid w:val="00546076"/>
    <w:rsid w:val="007175A0"/>
    <w:rsid w:val="007D07F4"/>
    <w:rsid w:val="008F2303"/>
    <w:rsid w:val="00A6407F"/>
    <w:rsid w:val="00CC44E7"/>
    <w:rsid w:val="00EB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728D"/>
  <w15:chartTrackingRefBased/>
  <w15:docId w15:val="{0D504D9B-8A2F-41B9-9004-7CCA9F9C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336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2017-05-25T10:25:00Z</dcterms:created>
  <dcterms:modified xsi:type="dcterms:W3CDTF">2017-05-25T10:26:00Z</dcterms:modified>
</cp:coreProperties>
</file>