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A2EC7" w14:textId="77777777" w:rsidR="00D94815" w:rsidRPr="00D94815" w:rsidRDefault="00D94815" w:rsidP="00D94815">
      <w:pPr>
        <w:spacing w:after="0"/>
        <w:ind w:left="357" w:right="4819" w:hanging="357"/>
        <w:jc w:val="center"/>
        <w:rPr>
          <w:rFonts w:ascii="Calibri" w:eastAsia="Calibri" w:hAnsi="Calibri" w:cs="Times New Roman"/>
          <w:b/>
        </w:rPr>
      </w:pPr>
      <w:r w:rsidRPr="00D94815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8752" behindDoc="0" locked="0" layoutInCell="1" allowOverlap="1" wp14:anchorId="55D2D545" wp14:editId="144CAAB6">
            <wp:simplePos x="0" y="0"/>
            <wp:positionH relativeFrom="column">
              <wp:posOffset>721360</wp:posOffset>
            </wp:positionH>
            <wp:positionV relativeFrom="paragraph">
              <wp:posOffset>-114300</wp:posOffset>
            </wp:positionV>
            <wp:extent cx="511175" cy="569595"/>
            <wp:effectExtent l="0" t="0" r="3175" b="190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173D1" w14:textId="77777777" w:rsidR="00D94815" w:rsidRPr="00D94815" w:rsidRDefault="00D94815" w:rsidP="00D94815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1B94E594" w14:textId="77777777" w:rsidR="00D94815" w:rsidRPr="00D94815" w:rsidRDefault="00D94815" w:rsidP="00D94815">
      <w:pPr>
        <w:tabs>
          <w:tab w:val="left" w:pos="9354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A3831A3" w14:textId="0D650DC0" w:rsidR="00D94815" w:rsidRPr="00D94815" w:rsidRDefault="00D94815" w:rsidP="00D94815">
      <w:pPr>
        <w:tabs>
          <w:tab w:val="left" w:pos="9354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pl-PL"/>
        </w:rPr>
      </w:pPr>
      <w:r w:rsidRPr="00D948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WOJEWODA DOLNOŚLĄSKI</w:t>
      </w:r>
      <w:r w:rsidRPr="00D94815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                               </w:t>
      </w:r>
      <w:r w:rsidRPr="00D94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Wrocław, dnia   </w:t>
      </w:r>
      <w:r w:rsidR="002B57BF">
        <w:rPr>
          <w:rFonts w:ascii="Times New Roman" w:eastAsia="Times New Roman" w:hAnsi="Times New Roman" w:cs="Times New Roman"/>
          <w:sz w:val="24"/>
          <w:szCs w:val="24"/>
          <w:lang w:eastAsia="pl-PL"/>
        </w:rPr>
        <w:t>31</w:t>
      </w:r>
      <w:r w:rsidRPr="00D94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1228C0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Pr="00D94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1228C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94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D94815"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pl-PL"/>
        </w:rPr>
        <w:t xml:space="preserve"> </w:t>
      </w:r>
    </w:p>
    <w:p w14:paraId="18D51003" w14:textId="77777777" w:rsidR="00D94815" w:rsidRPr="00D94815" w:rsidRDefault="00D94815" w:rsidP="00D94815">
      <w:pPr>
        <w:spacing w:after="0" w:line="240" w:lineRule="auto"/>
        <w:ind w:left="357" w:hanging="357"/>
        <w:rPr>
          <w:rFonts w:ascii="Times New Roman" w:eastAsia="Calibri" w:hAnsi="Times New Roman" w:cs="Times New Roman"/>
          <w:sz w:val="24"/>
        </w:rPr>
      </w:pPr>
    </w:p>
    <w:p w14:paraId="773BD3C3" w14:textId="6F8A5CCF" w:rsidR="00DB7919" w:rsidRDefault="00EF03E8" w:rsidP="00DB79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PS-NK</w:t>
      </w:r>
      <w:r w:rsidR="00DB7919">
        <w:rPr>
          <w:rFonts w:ascii="Times New Roman" w:hAnsi="Times New Roman" w:cs="Times New Roman"/>
          <w:sz w:val="24"/>
          <w:szCs w:val="24"/>
        </w:rPr>
        <w:t>PS.9421.3.</w:t>
      </w:r>
      <w:r w:rsidR="001228C0">
        <w:rPr>
          <w:rFonts w:ascii="Times New Roman" w:hAnsi="Times New Roman" w:cs="Times New Roman"/>
          <w:sz w:val="24"/>
          <w:szCs w:val="24"/>
        </w:rPr>
        <w:t>39</w:t>
      </w:r>
      <w:r w:rsidR="00DB7919">
        <w:rPr>
          <w:rFonts w:ascii="Times New Roman" w:hAnsi="Times New Roman" w:cs="Times New Roman"/>
          <w:sz w:val="24"/>
          <w:szCs w:val="24"/>
        </w:rPr>
        <w:t>.202</w:t>
      </w:r>
      <w:r w:rsidR="001228C0">
        <w:rPr>
          <w:rFonts w:ascii="Times New Roman" w:hAnsi="Times New Roman" w:cs="Times New Roman"/>
          <w:sz w:val="24"/>
          <w:szCs w:val="24"/>
        </w:rPr>
        <w:t>5</w:t>
      </w:r>
      <w:r w:rsidR="00DB7919">
        <w:rPr>
          <w:rFonts w:ascii="Times New Roman" w:hAnsi="Times New Roman" w:cs="Times New Roman"/>
          <w:sz w:val="24"/>
          <w:szCs w:val="24"/>
        </w:rPr>
        <w:t>.AK</w:t>
      </w:r>
    </w:p>
    <w:p w14:paraId="64963295" w14:textId="77777777" w:rsidR="00443BDE" w:rsidRDefault="00443BDE" w:rsidP="00DB7919">
      <w:pPr>
        <w:rPr>
          <w:rFonts w:ascii="Times New Roman" w:hAnsi="Times New Roman" w:cs="Times New Roman"/>
          <w:sz w:val="24"/>
          <w:szCs w:val="24"/>
        </w:rPr>
      </w:pPr>
    </w:p>
    <w:p w14:paraId="6573CE7A" w14:textId="77777777" w:rsidR="00DB7919" w:rsidRDefault="00DB7919" w:rsidP="008B19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Pani/Pan</w:t>
      </w:r>
    </w:p>
    <w:p w14:paraId="26C5123C" w14:textId="77777777" w:rsidR="00DB7919" w:rsidRDefault="00DB7919" w:rsidP="008B19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Dyrektor/Kierownik</w:t>
      </w:r>
    </w:p>
    <w:p w14:paraId="7159618F" w14:textId="6B958FFD" w:rsidR="00DB7919" w:rsidRDefault="00DB7919" w:rsidP="008B19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Ośrodka Pomocy Społecznej</w:t>
      </w:r>
      <w:r w:rsidR="001228C0">
        <w:rPr>
          <w:rFonts w:ascii="Times New Roman" w:hAnsi="Times New Roman" w:cs="Times New Roman"/>
          <w:sz w:val="24"/>
          <w:szCs w:val="24"/>
        </w:rPr>
        <w:t>/</w:t>
      </w:r>
    </w:p>
    <w:p w14:paraId="63C1D9F7" w14:textId="56817BC2" w:rsidR="001228C0" w:rsidRDefault="001228C0" w:rsidP="008B19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Centrum Usług Społecznych</w:t>
      </w:r>
    </w:p>
    <w:p w14:paraId="0D009C05" w14:textId="77777777" w:rsidR="00DB7919" w:rsidRDefault="00DB7919" w:rsidP="008B19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w województwie dolnośląskim</w:t>
      </w:r>
    </w:p>
    <w:p w14:paraId="6B6E2309" w14:textId="7C1D4BF0" w:rsidR="0069367A" w:rsidRDefault="0069367A" w:rsidP="00DB791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73C17" w14:textId="49C8E23F" w:rsidR="00443BDE" w:rsidRDefault="00443BDE" w:rsidP="00DB791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B63D33" w14:textId="77777777" w:rsidR="001228C0" w:rsidRDefault="001228C0" w:rsidP="001228C0">
      <w:pPr>
        <w:spacing w:after="8" w:line="36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pojawiającymi się pytaniami, dotyczącymi rozliczania przyznanej pomocy w formie zasiłku na remont i odbudowę budynków/lokali mieszkalnych i budynków gospodarczych w odniesieniu do</w:t>
      </w:r>
      <w:r w:rsidRPr="00FE5B8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zapisów zawartych w </w:t>
      </w:r>
      <w:r w:rsidRPr="00FE5B8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części III ust. 18 </w:t>
      </w:r>
      <w:r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Zasad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udzielania pomocy finansowej ze środków budżetu państwa z części 85 – Budżety wojewodów, dział 852 – Pomoc społeczna, rozdział 85278 – Usuwanie skutków klęsk żywiołowych, w formie zasiłków celowych, o których mowa w ustawie o pomocy społecznej oraz w ustawie o szczególnych rozwiązaniach związanych z usuwaniem skutków powodzi, dla rodzin lub osób samotnie gospodarujących poszkodowanych w wyniku powodzi we wrześniu 2024 r.” </w:t>
      </w:r>
      <w:r>
        <w:rPr>
          <w:rFonts w:ascii="Times New Roman" w:hAnsi="Times New Roman" w:cs="Times New Roman"/>
          <w:sz w:val="24"/>
          <w:szCs w:val="24"/>
        </w:rPr>
        <w:t>z dnia 18 października 2024 r. informuję co następuje.</w:t>
      </w:r>
    </w:p>
    <w:p w14:paraId="7638901D" w14:textId="7355624F" w:rsidR="001228C0" w:rsidRDefault="001228C0" w:rsidP="001228C0">
      <w:pPr>
        <w:pStyle w:val="Akapitzlist"/>
        <w:spacing w:after="9" w:line="360" w:lineRule="auto"/>
        <w:ind w:left="0" w:right="130" w:firstLine="709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Zgodnie z częścią III ust. 8 Zasad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 kwoty przyznanego zasiłku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na odbudowę budynku mieszkalnego mogą zostać sfinansowane koszty remontu lub zakupu urządzeń niezbędnych do doprowadzenia energii, ciepła, wody oraz niezbędnej infrastruktury technicznej towarzyszącej budownictwu mieszkalnemu, które zostały zniszczone lub uszkodzone w wyniku zdarzeń związanych z powodzią. Koszty te nie zwiększają kwoty zasiłku na odbudowę budynku mieszkalnego.</w:t>
      </w:r>
    </w:p>
    <w:p w14:paraId="72DA4B88" w14:textId="08DC0A3F" w:rsidR="001228C0" w:rsidRPr="00FE5B8E" w:rsidRDefault="001228C0" w:rsidP="001228C0">
      <w:pPr>
        <w:spacing w:after="8" w:line="36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FE5B8E">
        <w:rPr>
          <w:rFonts w:ascii="Times New Roman" w:hAnsi="Times New Roman" w:cs="Times New Roman"/>
          <w:sz w:val="24"/>
          <w:szCs w:val="24"/>
        </w:rPr>
        <w:t xml:space="preserve"> przyznanej pomocy remontowo - budowlanej, o której mowa w części I ust. 1 pkt </w:t>
      </w:r>
      <w:proofErr w:type="gramStart"/>
      <w:r w:rsidRPr="00FE5B8E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Pr="00FE5B8E">
        <w:rPr>
          <w:rFonts w:ascii="Times New Roman" w:hAnsi="Times New Roman" w:cs="Times New Roman"/>
          <w:sz w:val="24"/>
          <w:szCs w:val="24"/>
        </w:rPr>
        <w:t>ppkt</w:t>
      </w:r>
      <w:proofErr w:type="spellEnd"/>
      <w:proofErr w:type="gramEnd"/>
      <w:r w:rsidRPr="00FE5B8E">
        <w:rPr>
          <w:rFonts w:ascii="Times New Roman" w:hAnsi="Times New Roman" w:cs="Times New Roman"/>
          <w:sz w:val="24"/>
          <w:szCs w:val="24"/>
        </w:rPr>
        <w:t xml:space="preserve"> a)</w:t>
      </w:r>
      <w:r>
        <w:rPr>
          <w:rFonts w:ascii="Times New Roman" w:hAnsi="Times New Roman" w:cs="Times New Roman"/>
          <w:sz w:val="24"/>
          <w:szCs w:val="24"/>
        </w:rPr>
        <w:t>, czyli z „zasiłku na odbudowę budynku mieszkalnego”:</w:t>
      </w:r>
    </w:p>
    <w:p w14:paraId="3B909C1D" w14:textId="77777777" w:rsidR="001228C0" w:rsidRPr="00FE5B8E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FE5B8E">
        <w:rPr>
          <w:rFonts w:ascii="Times New Roman" w:hAnsi="Times New Roman" w:cs="Times New Roman"/>
          <w:sz w:val="24"/>
          <w:szCs w:val="24"/>
        </w:rPr>
        <w:t>1) mogą być pokryte wydatki związane z zakupem podstawowego sprzętu gospodarstwa domowego i wyposażenia, które uległo uszkodzeniu lub zniszczeniu w wyniku powodzi,</w:t>
      </w:r>
    </w:p>
    <w:p w14:paraId="35C1DA2E" w14:textId="77777777" w:rsidR="001228C0" w:rsidRPr="00FE5B8E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FE5B8E">
        <w:rPr>
          <w:rFonts w:ascii="Times New Roman" w:hAnsi="Times New Roman" w:cs="Times New Roman"/>
          <w:sz w:val="24"/>
          <w:szCs w:val="24"/>
        </w:rPr>
        <w:t>2) wydatki te nie mogą być większe niż 25% przyznanego zasiłku na odbudowę budynku mieszkalnego,</w:t>
      </w:r>
    </w:p>
    <w:p w14:paraId="68DBE1C9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FE5B8E">
        <w:rPr>
          <w:rFonts w:ascii="Times New Roman" w:hAnsi="Times New Roman" w:cs="Times New Roman"/>
          <w:sz w:val="24"/>
          <w:szCs w:val="24"/>
        </w:rPr>
        <w:lastRenderedPageBreak/>
        <w:t xml:space="preserve">3) wykaz podstawowego sprzętu gospodarstwa domowego i wyposażenia stanowi załącznik nr 7 </w:t>
      </w:r>
      <w:proofErr w:type="gramStart"/>
      <w:r w:rsidRPr="00FE5B8E">
        <w:rPr>
          <w:rFonts w:ascii="Times New Roman" w:hAnsi="Times New Roman" w:cs="Times New Roman"/>
          <w:sz w:val="24"/>
          <w:szCs w:val="24"/>
        </w:rPr>
        <w:t>do  Zasad</w:t>
      </w:r>
      <w:proofErr w:type="gramEnd"/>
      <w:r w:rsidRPr="00FE5B8E">
        <w:rPr>
          <w:rFonts w:ascii="Times New Roman" w:hAnsi="Times New Roman" w:cs="Times New Roman"/>
          <w:sz w:val="24"/>
          <w:szCs w:val="24"/>
        </w:rPr>
        <w:t>.</w:t>
      </w:r>
    </w:p>
    <w:p w14:paraId="5307E53F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Załącznik, o którym wyżej mowa wymienia następujący sprzęt:</w:t>
      </w:r>
    </w:p>
    <w:p w14:paraId="70F27B6C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Kuchnia: gazowa, elektryczna, indukcyjna, ceramiczna.</w:t>
      </w:r>
    </w:p>
    <w:p w14:paraId="2175E0C3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Pralka, suszarka, pralko-suszarka.</w:t>
      </w:r>
    </w:p>
    <w:p w14:paraId="423C5C80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Lodówka.</w:t>
      </w:r>
    </w:p>
    <w:p w14:paraId="20B5752A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Zamrażarka.</w:t>
      </w:r>
    </w:p>
    <w:p w14:paraId="6C5C9DDA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Zmywarka.</w:t>
      </w:r>
    </w:p>
    <w:p w14:paraId="3820ACFB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Mikrofalówka.</w:t>
      </w:r>
    </w:p>
    <w:p w14:paraId="5898EB87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Piekarnik.</w:t>
      </w:r>
    </w:p>
    <w:p w14:paraId="7D908BC8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Armatura kuchenna.</w:t>
      </w:r>
    </w:p>
    <w:p w14:paraId="2D4F6D85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Meble kuchenne.</w:t>
      </w:r>
    </w:p>
    <w:p w14:paraId="5B295684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Armatura łazienkowa.</w:t>
      </w:r>
    </w:p>
    <w:p w14:paraId="5BE8DF91" w14:textId="77777777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Meble.</w:t>
      </w:r>
    </w:p>
    <w:p w14:paraId="0FD5A0CF" w14:textId="4353251F" w:rsidR="001228C0" w:rsidRDefault="001228C0" w:rsidP="001228C0">
      <w:pPr>
        <w:pStyle w:val="Akapitzlist"/>
        <w:numPr>
          <w:ilvl w:val="0"/>
          <w:numId w:val="1"/>
        </w:num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Nagrzewnica.</w:t>
      </w:r>
    </w:p>
    <w:p w14:paraId="67C3DFEA" w14:textId="77777777" w:rsidR="001228C0" w:rsidRDefault="001228C0" w:rsidP="001228C0">
      <w:pPr>
        <w:pStyle w:val="Akapitzlist"/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14:paraId="7EFC41F4" w14:textId="0A038006" w:rsidR="001228C0" w:rsidRDefault="001228C0" w:rsidP="001228C0">
      <w:pPr>
        <w:pStyle w:val="Akapitzlist"/>
        <w:spacing w:after="8" w:line="360" w:lineRule="auto"/>
        <w:ind w:left="0" w:right="13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wyżej wymienionym wykazie nie figurują:</w:t>
      </w:r>
    </w:p>
    <w:p w14:paraId="2E7B2A53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rusztowania,</w:t>
      </w:r>
    </w:p>
    <w:p w14:paraId="46136F38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spawarki,</w:t>
      </w:r>
    </w:p>
    <w:p w14:paraId="729E929B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agregaty prądotwórcze,</w:t>
      </w:r>
    </w:p>
    <w:p w14:paraId="486B274A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osuszacze elektryczne,</w:t>
      </w:r>
    </w:p>
    <w:p w14:paraId="51CF19C6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drobne elektronarzędzia i artykuły do nich, np. wiertarki i wiertła, szlifierki kątowe i tarcze do nich, mieszadła elektryczne,</w:t>
      </w:r>
    </w:p>
    <w:p w14:paraId="111C9D3F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drobne narzędzia, np. kombinerki, śrubokręty, klucze,</w:t>
      </w:r>
    </w:p>
    <w:p w14:paraId="11C924F9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drobne artykuły tynkarskie i malarskie, np. pace, szpachelki, pędzle, wałki, mieszadła.</w:t>
      </w:r>
    </w:p>
    <w:p w14:paraId="28CFAFC9" w14:textId="6072030D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wynajęcie sprzętu budowlanego, </w:t>
      </w:r>
    </w:p>
    <w:p w14:paraId="4297692B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usługi geodezyjne służące między innymi wytyczeniu granic działek, które są niewidoczne po powodzi (brak punktów, które np. wcześniej je wyznaczały),</w:t>
      </w:r>
    </w:p>
    <w:p w14:paraId="45AA6479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usługi projektowe i nadzoru budowlanego dla odbudowywanych budynków, również gospodarczych,</w:t>
      </w:r>
    </w:p>
    <w:p w14:paraId="34DD453B" w14:textId="77777777" w:rsidR="001228C0" w:rsidRDefault="001228C0" w:rsidP="001228C0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koszty dostaw, </w:t>
      </w:r>
      <w:proofErr w:type="gramStart"/>
      <w:r>
        <w:rPr>
          <w:rFonts w:ascii="Times New Roman" w:hAnsi="Times New Roman" w:cs="Times New Roman"/>
          <w:sz w:val="24"/>
          <w:szCs w:val="24"/>
        </w:rPr>
        <w:t>transportu  materiałów</w:t>
      </w:r>
      <w:proofErr w:type="gramEnd"/>
      <w:r>
        <w:rPr>
          <w:rFonts w:ascii="Times New Roman" w:hAnsi="Times New Roman" w:cs="Times New Roman"/>
          <w:sz w:val="24"/>
          <w:szCs w:val="24"/>
        </w:rPr>
        <w:t>, produktów, np. drzwi, okien, piachu i innych materiałów budowlanych.</w:t>
      </w:r>
    </w:p>
    <w:p w14:paraId="438BFAB8" w14:textId="77777777" w:rsidR="006F0777" w:rsidRDefault="001228C0" w:rsidP="006F0777">
      <w:pPr>
        <w:spacing w:after="8" w:line="36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833309" w14:textId="77777777" w:rsidR="00F652AB" w:rsidRDefault="00863396" w:rsidP="006F0777">
      <w:pPr>
        <w:spacing w:after="8" w:line="36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Niemniej jednak, z uwagi na fakt, że </w:t>
      </w:r>
      <w:r w:rsidR="006F0777">
        <w:rPr>
          <w:rFonts w:ascii="Times New Roman" w:hAnsi="Times New Roman" w:cs="Times New Roman"/>
          <w:sz w:val="24"/>
          <w:szCs w:val="24"/>
        </w:rPr>
        <w:t>prace remontowe wiążą się z wieloma działaniami związanymi z procesem remontu/odbudowy</w:t>
      </w:r>
      <w:r>
        <w:rPr>
          <w:rFonts w:ascii="Times New Roman" w:hAnsi="Times New Roman" w:cs="Times New Roman"/>
          <w:sz w:val="24"/>
          <w:szCs w:val="24"/>
        </w:rPr>
        <w:t xml:space="preserve"> możliwe jest sfinansowanie wydatków na ww. urządzenia czy materiały z zasiłku na odbudowę.</w:t>
      </w:r>
      <w:r w:rsidR="006F0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tym miejscu należy pamiętać, że d</w:t>
      </w:r>
      <w:r w:rsidR="006F0777">
        <w:rPr>
          <w:rFonts w:ascii="Times New Roman" w:hAnsi="Times New Roman" w:cs="Times New Roman"/>
          <w:sz w:val="24"/>
          <w:szCs w:val="24"/>
        </w:rPr>
        <w:t>ziałania te powinny być bezpośrednio powiązane z tym procesem i powiązane bezpośrednio z wydatkami. To do oceny ośrodka pomocy społecznej należy decyzja, czy przedkładane wydatki poniesione przez poszkodowane rodziny przy remoncie/odbudowie domu/lokalu mieszkalnego można uznać za prawidłowe. Do każdego rozliczenia poniesionych wydatków na ten cel należy podejść indywidualnie. W niektórych przypadkach</w:t>
      </w:r>
      <w:r w:rsidR="00F652AB">
        <w:rPr>
          <w:rFonts w:ascii="Times New Roman" w:hAnsi="Times New Roman" w:cs="Times New Roman"/>
          <w:sz w:val="24"/>
          <w:szCs w:val="24"/>
        </w:rPr>
        <w:t>,</w:t>
      </w:r>
      <w:r w:rsidR="006F0777">
        <w:rPr>
          <w:rFonts w:ascii="Times New Roman" w:hAnsi="Times New Roman" w:cs="Times New Roman"/>
          <w:sz w:val="24"/>
          <w:szCs w:val="24"/>
        </w:rPr>
        <w:t xml:space="preserve"> w zależności od przyjętej formy odbudowy</w:t>
      </w:r>
      <w:r w:rsidR="00F652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wskazane wydatki (lub ich część) mogą być zakwalifikowane, a w innych nie będą możliwe do przyjęcia.</w:t>
      </w:r>
      <w:r w:rsidR="00F652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B5CCB" w14:textId="0E392A71" w:rsidR="00C55C81" w:rsidRDefault="00F652AB" w:rsidP="00C55C81">
      <w:pPr>
        <w:spacing w:after="8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Pomocna w tym zakresie może być Interpretacja ogólna wydana przez Ministra Finansów, Funduszy i Polityki Regionalnej z dnia 13 października 2021 r., </w:t>
      </w:r>
      <w:r w:rsidR="00354D2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Nr DD2.8202.4.2020 w sprawie stosowania zwolnienia określonego w art. 21 ust. 1 pkt 131 ustawy o podatku dochodowym od osób fizycznych w związku z kwalifikacją niektórych wydatków poniesionych na remont w wykończenie nieruchomości jako wydatków stanowiących realizację celu mieszkaniowego</w:t>
      </w:r>
      <w:r w:rsidR="00C55C81">
        <w:rPr>
          <w:rFonts w:ascii="Times New Roman" w:hAnsi="Times New Roman" w:cs="Times New Roman"/>
          <w:sz w:val="24"/>
          <w:szCs w:val="24"/>
        </w:rPr>
        <w:t xml:space="preserve"> (Dziennik Urzędowy Ministra Finansów, Funduszy i Polityki Regionalnej z dnia 14 października 2021 r., poz. 145).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C81">
        <w:rPr>
          <w:rFonts w:ascii="Times New Roman" w:hAnsi="Times New Roman" w:cs="Times New Roman"/>
          <w:sz w:val="24"/>
          <w:szCs w:val="24"/>
        </w:rPr>
        <w:t xml:space="preserve">Publikacja dostępna jest pod </w:t>
      </w:r>
      <w:r>
        <w:rPr>
          <w:rFonts w:ascii="Times New Roman" w:hAnsi="Times New Roman" w:cs="Times New Roman"/>
          <w:sz w:val="24"/>
          <w:szCs w:val="24"/>
        </w:rPr>
        <w:t>linkiem </w:t>
      </w:r>
      <w:r w:rsidR="00C55C81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C55C81" w:rsidRPr="000366DB">
          <w:rPr>
            <w:rStyle w:val="Hipercze"/>
            <w:rFonts w:ascii="Times New Roman" w:hAnsi="Times New Roman" w:cs="Times New Roman"/>
            <w:sz w:val="24"/>
            <w:szCs w:val="24"/>
          </w:rPr>
          <w:t>https://www.gov.pl/web/finanse/interpretacja-ogolna-nr-dd2820242020-ministra-finansow-funduszy-i-polityki-regionalnej-z-dnia-13-pazdziernika-2021-r-w-sprawie-stosowania-zwolnienia-okreslonego-w-art-21-ust-1-pkt-131-ustawy-o-podatku-dochodowym-od-osob-fizycznych-w-zwiazku-z-kwalifikacja-niektorych-wydatkow-poniesionych-na-remont-i-wykonczenie-nieruchomosci-jako-wydatkow-stanowiacych-realizacje-celu-mieszkaniowego</w:t>
        </w:r>
      </w:hyperlink>
      <w:r w:rsidR="00C55C81">
        <w:rPr>
          <w:rFonts w:ascii="Times New Roman" w:hAnsi="Times New Roman" w:cs="Times New Roman"/>
          <w:sz w:val="24"/>
          <w:szCs w:val="24"/>
        </w:rPr>
        <w:t>.</w:t>
      </w:r>
    </w:p>
    <w:p w14:paraId="38917519" w14:textId="77777777" w:rsidR="00C55C81" w:rsidRDefault="00C55C81" w:rsidP="00C55C81">
      <w:pPr>
        <w:spacing w:after="8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06E938" w14:textId="2C12C14E" w:rsidR="001228C0" w:rsidRDefault="00C55C81" w:rsidP="00C55C81">
      <w:pPr>
        <w:spacing w:after="8"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1228C0" w:rsidRPr="0091679E">
        <w:rPr>
          <w:rFonts w:ascii="Times New Roman" w:eastAsia="Calibri" w:hAnsi="Times New Roman" w:cs="Times New Roman"/>
        </w:rPr>
        <w:t xml:space="preserve">Zastępca Dyrektora Wydziału </w:t>
      </w:r>
    </w:p>
    <w:p w14:paraId="7D2DCB0D" w14:textId="77777777" w:rsidR="001228C0" w:rsidRPr="0091679E" w:rsidRDefault="001228C0" w:rsidP="001228C0">
      <w:pPr>
        <w:spacing w:after="0" w:line="240" w:lineRule="auto"/>
        <w:ind w:left="3539" w:firstLine="1423"/>
        <w:jc w:val="both"/>
        <w:rPr>
          <w:rFonts w:ascii="Times New Roman" w:eastAsia="Calibri" w:hAnsi="Times New Roman" w:cs="Times New Roman"/>
        </w:rPr>
      </w:pPr>
      <w:r w:rsidRPr="0091679E">
        <w:rPr>
          <w:rFonts w:ascii="Times New Roman" w:eastAsia="Calibri" w:hAnsi="Times New Roman" w:cs="Times New Roman"/>
        </w:rPr>
        <w:t xml:space="preserve">                    Polityki Społecznej</w:t>
      </w:r>
    </w:p>
    <w:p w14:paraId="60D3BD63" w14:textId="77777777" w:rsidR="001228C0" w:rsidRPr="0091679E" w:rsidRDefault="001228C0" w:rsidP="001228C0">
      <w:pPr>
        <w:spacing w:after="0" w:line="240" w:lineRule="auto"/>
        <w:ind w:left="4955" w:firstLine="1423"/>
        <w:jc w:val="both"/>
        <w:rPr>
          <w:rFonts w:ascii="Times New Roman" w:eastAsia="Calibri" w:hAnsi="Times New Roman" w:cs="Times New Roman"/>
        </w:rPr>
      </w:pPr>
    </w:p>
    <w:p w14:paraId="36156EFC" w14:textId="77777777" w:rsidR="001228C0" w:rsidRPr="0091679E" w:rsidRDefault="001228C0" w:rsidP="001228C0">
      <w:pPr>
        <w:spacing w:after="0" w:line="240" w:lineRule="auto"/>
        <w:ind w:left="4955" w:firstLine="1423"/>
        <w:jc w:val="both"/>
        <w:rPr>
          <w:rFonts w:ascii="Times New Roman" w:hAnsi="Times New Roman" w:cs="Times New Roman"/>
          <w:spacing w:val="-3"/>
        </w:rPr>
      </w:pPr>
      <w:r w:rsidRPr="0091679E">
        <w:rPr>
          <w:rFonts w:ascii="Times New Roman" w:eastAsia="Calibri" w:hAnsi="Times New Roman" w:cs="Times New Roman"/>
        </w:rPr>
        <w:t xml:space="preserve"> Ewa </w:t>
      </w:r>
      <w:proofErr w:type="spellStart"/>
      <w:r w:rsidRPr="0091679E">
        <w:rPr>
          <w:rFonts w:ascii="Times New Roman" w:eastAsia="Calibri" w:hAnsi="Times New Roman" w:cs="Times New Roman"/>
        </w:rPr>
        <w:t>Oleniacz</w:t>
      </w:r>
      <w:proofErr w:type="spellEnd"/>
    </w:p>
    <w:p w14:paraId="6F4F823A" w14:textId="77777777" w:rsidR="001228C0" w:rsidRPr="002A2894" w:rsidRDefault="001228C0" w:rsidP="001228C0">
      <w:pPr>
        <w:spacing w:line="360" w:lineRule="auto"/>
        <w:ind w:left="4247" w:firstLine="708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1679E">
        <w:rPr>
          <w:rFonts w:ascii="Times New Roman" w:hAnsi="Times New Roman" w:cs="Times New Roman"/>
          <w:sz w:val="16"/>
          <w:szCs w:val="16"/>
        </w:rPr>
        <w:t>/podpisano kwalifikowanym podpisem elektronicznym/</w:t>
      </w:r>
    </w:p>
    <w:p w14:paraId="11C13421" w14:textId="299AEFFA" w:rsidR="00872505" w:rsidRDefault="00872505" w:rsidP="001228C0">
      <w:pPr>
        <w:spacing w:line="360" w:lineRule="auto"/>
        <w:ind w:firstLine="709"/>
        <w:jc w:val="both"/>
      </w:pPr>
    </w:p>
    <w:sectPr w:rsidR="00872505" w:rsidSect="0055654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6AFB" w14:textId="77777777" w:rsidR="001721D3" w:rsidRDefault="001721D3" w:rsidP="00863396">
      <w:pPr>
        <w:spacing w:after="0" w:line="240" w:lineRule="auto"/>
      </w:pPr>
      <w:r>
        <w:separator/>
      </w:r>
    </w:p>
  </w:endnote>
  <w:endnote w:type="continuationSeparator" w:id="0">
    <w:p w14:paraId="50477775" w14:textId="77777777" w:rsidR="001721D3" w:rsidRDefault="001721D3" w:rsidP="0086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ABA12" w14:textId="77777777" w:rsidR="001721D3" w:rsidRDefault="001721D3" w:rsidP="00863396">
      <w:pPr>
        <w:spacing w:after="0" w:line="240" w:lineRule="auto"/>
      </w:pPr>
      <w:r>
        <w:separator/>
      </w:r>
    </w:p>
  </w:footnote>
  <w:footnote w:type="continuationSeparator" w:id="0">
    <w:p w14:paraId="72D1B714" w14:textId="77777777" w:rsidR="001721D3" w:rsidRDefault="001721D3" w:rsidP="00863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4727A"/>
    <w:multiLevelType w:val="hybridMultilevel"/>
    <w:tmpl w:val="C8DAC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666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13"/>
    <w:rsid w:val="00011D31"/>
    <w:rsid w:val="000F2C94"/>
    <w:rsid w:val="001228C0"/>
    <w:rsid w:val="001721D3"/>
    <w:rsid w:val="00194A10"/>
    <w:rsid w:val="00196BAA"/>
    <w:rsid w:val="001F59C6"/>
    <w:rsid w:val="0022226B"/>
    <w:rsid w:val="002B57BF"/>
    <w:rsid w:val="003171D4"/>
    <w:rsid w:val="00354D2D"/>
    <w:rsid w:val="003847ED"/>
    <w:rsid w:val="00443BDE"/>
    <w:rsid w:val="004E51CD"/>
    <w:rsid w:val="00550ABB"/>
    <w:rsid w:val="00556547"/>
    <w:rsid w:val="005D2093"/>
    <w:rsid w:val="00625B6B"/>
    <w:rsid w:val="00684B5C"/>
    <w:rsid w:val="0069367A"/>
    <w:rsid w:val="006A437D"/>
    <w:rsid w:val="006F0777"/>
    <w:rsid w:val="007A4035"/>
    <w:rsid w:val="007A51A2"/>
    <w:rsid w:val="007B425B"/>
    <w:rsid w:val="00834C5F"/>
    <w:rsid w:val="00863396"/>
    <w:rsid w:val="00872505"/>
    <w:rsid w:val="008A0ACE"/>
    <w:rsid w:val="008B192A"/>
    <w:rsid w:val="00AA67D0"/>
    <w:rsid w:val="00BE19A0"/>
    <w:rsid w:val="00C429A2"/>
    <w:rsid w:val="00C55C81"/>
    <w:rsid w:val="00CD4B20"/>
    <w:rsid w:val="00D42DF8"/>
    <w:rsid w:val="00D94815"/>
    <w:rsid w:val="00DB7919"/>
    <w:rsid w:val="00EF03E8"/>
    <w:rsid w:val="00EF1D13"/>
    <w:rsid w:val="00F412F9"/>
    <w:rsid w:val="00F652AB"/>
    <w:rsid w:val="00FD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7FCB"/>
  <w15:docId w15:val="{04117FBC-F88A-4AA0-B41B-6A08519B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9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035"/>
    <w:pPr>
      <w:spacing w:after="160" w:line="252" w:lineRule="auto"/>
      <w:ind w:left="720"/>
      <w:contextualSpacing/>
    </w:pPr>
    <w:rPr>
      <w:rFonts w:ascii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33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3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339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652A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429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finanse/interpretacja-ogolna-nr-dd2820242020-ministra-finansow-funduszy-i-polityki-regionalnej-z-dnia-13-pazdziernika-2021-r-w-sprawie-stosowania-zwolnienia-okreslonego-w-art-21-ust-1-pkt-131-ustawy-o-podatku-dochodowym-od-osob-fizycznych-w-zwiazku-z-kwalifikacja-niektorych-wydatkow-poniesionych-na-remont-i-wykonczenie-nieruchomosci-jako-wydatkow-stanowiacych-realizacje-celu-mieszkanioweg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Kukuryka - Szymuś</dc:creator>
  <cp:keywords/>
  <dc:description/>
  <cp:lastModifiedBy>Jacek Lechociński</cp:lastModifiedBy>
  <cp:revision>2</cp:revision>
  <cp:lastPrinted>2025-02-03T16:24:00Z</cp:lastPrinted>
  <dcterms:created xsi:type="dcterms:W3CDTF">2025-02-03T16:25:00Z</dcterms:created>
  <dcterms:modified xsi:type="dcterms:W3CDTF">2025-02-03T16:25:00Z</dcterms:modified>
</cp:coreProperties>
</file>