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923" w:rsidRPr="008433D0" w:rsidRDefault="00497923" w:rsidP="00497923">
      <w:pPr>
        <w:rPr>
          <w:rFonts w:eastAsiaTheme="minorEastAsia" w:cstheme="minorHAnsi"/>
          <w:iCs/>
        </w:rPr>
      </w:pPr>
    </w:p>
    <w:p w:rsidR="00497923" w:rsidRDefault="00497923" w:rsidP="00497923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Załącznik nr 1</w:t>
      </w:r>
    </w:p>
    <w:p w:rsidR="00497923" w:rsidRDefault="00497923" w:rsidP="00497923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bCs/>
          <w:color w:val="000000"/>
          <w:sz w:val="28"/>
          <w:szCs w:val="28"/>
          <w:lang w:eastAsia="pl-PL"/>
        </w:rPr>
      </w:pPr>
    </w:p>
    <w:p w:rsidR="00497923" w:rsidRDefault="00497923" w:rsidP="0049792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Opis Przedmiotu Zamówienia</w:t>
      </w:r>
    </w:p>
    <w:p w:rsidR="00497923" w:rsidRDefault="00497923" w:rsidP="0049792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97923" w:rsidRDefault="00497923" w:rsidP="00497923">
      <w:pPr>
        <w:autoSpaceDE w:val="0"/>
        <w:autoSpaceDN w:val="0"/>
        <w:adjustRightInd w:val="0"/>
        <w:spacing w:after="0" w:line="240" w:lineRule="auto"/>
        <w:jc w:val="center"/>
        <w:rPr>
          <w:b/>
          <w:i/>
        </w:rPr>
      </w:pPr>
    </w:p>
    <w:p w:rsidR="00497923" w:rsidRDefault="00497923" w:rsidP="00497923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16"/>
          <w:szCs w:val="16"/>
          <w:lang w:eastAsia="pl-PL"/>
        </w:rPr>
      </w:pPr>
    </w:p>
    <w:p w:rsidR="00497923" w:rsidRPr="001E70A2" w:rsidRDefault="00497923" w:rsidP="00497923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/>
          <w:lang w:eastAsia="pl-PL"/>
        </w:rPr>
      </w:pPr>
      <w:r w:rsidRPr="001614FC">
        <w:rPr>
          <w:rFonts w:eastAsia="Times New Roman"/>
          <w:lang w:eastAsia="pl-PL"/>
        </w:rPr>
        <w:t xml:space="preserve">W ramach realizacji przedmiotu umowy Wykonawca zobowiązuje się do przygotowania </w:t>
      </w:r>
      <w:r>
        <w:rPr>
          <w:rFonts w:eastAsia="Times New Roman"/>
          <w:lang w:eastAsia="pl-PL"/>
        </w:rPr>
        <w:t xml:space="preserve">diagnozy obszaru całej gminy zgodnie z zapisami rozdziału 3 ustawy o rewitalizacji oraz gminnego </w:t>
      </w:r>
      <w:r w:rsidRPr="001614FC">
        <w:rPr>
          <w:rFonts w:eastAsia="Times New Roman"/>
          <w:lang w:eastAsia="pl-PL"/>
        </w:rPr>
        <w:t>programu rewitalizacji</w:t>
      </w:r>
      <w:r>
        <w:rPr>
          <w:rFonts w:eastAsia="Times New Roman"/>
          <w:lang w:eastAsia="pl-PL"/>
        </w:rPr>
        <w:t xml:space="preserve"> (GPR)</w:t>
      </w:r>
      <w:r w:rsidRPr="001614FC">
        <w:rPr>
          <w:rFonts w:eastAsia="Times New Roman"/>
          <w:lang w:eastAsia="pl-PL"/>
        </w:rPr>
        <w:t>, o którym mowa w rozdz. 4 ustawy z dnia 9 października 2015 r. o rewitalizacji, pełniącego rolę Innego instrumentu terytorialnego, zwanego dalej IIT, o którym mowa w art. 28 i art. 29 rozporządzenia ogólnego</w:t>
      </w:r>
      <w:r>
        <w:rPr>
          <w:rStyle w:val="Odwoanieprzypisudolnego"/>
          <w:rFonts w:eastAsia="Times New Roman"/>
          <w:lang w:eastAsia="pl-PL"/>
        </w:rPr>
        <w:footnoteReference w:id="1"/>
      </w:r>
      <w:r w:rsidRPr="001614FC">
        <w:rPr>
          <w:rFonts w:eastAsia="Times New Roman"/>
          <w:lang w:eastAsia="pl-PL"/>
        </w:rPr>
        <w:t xml:space="preserve"> oraz w art. 36 ustawy z dnia 28 kwietnia 2022 r. o zasadach realizacji zadań finansowanych ze środków europejskich w perspektywie finansowej 2021–2027</w:t>
      </w:r>
      <w:r>
        <w:rPr>
          <w:rStyle w:val="Odwoanieprzypisudolnego"/>
          <w:rFonts w:eastAsia="Times New Roman"/>
          <w:lang w:eastAsia="pl-PL"/>
        </w:rPr>
        <w:footnoteReference w:id="2"/>
      </w:r>
      <w:r>
        <w:rPr>
          <w:rFonts w:eastAsia="Times New Roman"/>
          <w:lang w:eastAsia="pl-PL"/>
        </w:rPr>
        <w:t>. Zakres zadań do realizacji obejmuje</w:t>
      </w:r>
      <w:r w:rsidRPr="001E70A2">
        <w:t>:</w:t>
      </w:r>
    </w:p>
    <w:p w:rsidR="00497923" w:rsidRPr="00D21E43" w:rsidRDefault="00497923" w:rsidP="00497923">
      <w:pPr>
        <w:numPr>
          <w:ilvl w:val="0"/>
          <w:numId w:val="2"/>
        </w:numPr>
        <w:tabs>
          <w:tab w:val="num" w:pos="709"/>
        </w:tabs>
        <w:autoSpaceDE w:val="0"/>
        <w:autoSpaceDN w:val="0"/>
        <w:adjustRightInd w:val="0"/>
        <w:spacing w:after="0" w:line="276" w:lineRule="auto"/>
        <w:ind w:left="709"/>
        <w:jc w:val="both"/>
      </w:pPr>
      <w:r w:rsidRPr="00D21E43">
        <w:t>opracowanie diagnozy w celu wyznaczenia obszaru zdegradowanego i obszaru rewitalizacji wraz z projektem uchwały w sprawie wyznaczenia tych obszarów</w:t>
      </w:r>
      <w:r>
        <w:t>;</w:t>
      </w:r>
    </w:p>
    <w:p w:rsidR="00497923" w:rsidRPr="00D21E43" w:rsidRDefault="00497923" w:rsidP="00497923">
      <w:pPr>
        <w:numPr>
          <w:ilvl w:val="0"/>
          <w:numId w:val="2"/>
        </w:numPr>
        <w:tabs>
          <w:tab w:val="num" w:pos="709"/>
        </w:tabs>
        <w:autoSpaceDE w:val="0"/>
        <w:autoSpaceDN w:val="0"/>
        <w:adjustRightInd w:val="0"/>
        <w:spacing w:after="0" w:line="276" w:lineRule="auto"/>
        <w:ind w:left="709"/>
        <w:jc w:val="both"/>
      </w:pPr>
      <w:r w:rsidRPr="00D21E43">
        <w:t>opracowanie dokumentu GPR, w tym:</w:t>
      </w:r>
    </w:p>
    <w:p w:rsidR="00497923" w:rsidRPr="00D21E43" w:rsidRDefault="00497923" w:rsidP="004979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</w:pPr>
      <w:r w:rsidRPr="00D21E43">
        <w:t>diagnozy szczegółowej obszaru rewitalizacji w sferze społecznej, gospodarczej, technicznej, środowiskowej i przestrzenno-funkcjonalnej</w:t>
      </w:r>
      <w:r>
        <w:t>;</w:t>
      </w:r>
      <w:r w:rsidRPr="00D21E43">
        <w:t xml:space="preserve"> </w:t>
      </w:r>
    </w:p>
    <w:p w:rsidR="00497923" w:rsidRPr="00D21E43" w:rsidRDefault="00497923" w:rsidP="004979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</w:pPr>
      <w:r w:rsidRPr="00D21E43">
        <w:t>części strategicznej i zarządczej GPR, z opracowaniem koncepcji przedsięwzięć rewitalizacyjnych umożliwiających pozyskanie dofinansowania ze środków europejskich w perspektywie finansowej 2021 – 2027</w:t>
      </w:r>
      <w:r>
        <w:t>;</w:t>
      </w:r>
    </w:p>
    <w:p w:rsidR="00497923" w:rsidRPr="00D21E43" w:rsidRDefault="00497923" w:rsidP="004979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</w:pPr>
      <w:r w:rsidRPr="00D21E43">
        <w:t>załącznika mapowego do GPR – podstawowe kierunki zmian przestrzenno-funkcjonalnych obszaru rewitalizacji</w:t>
      </w:r>
      <w:r>
        <w:t>;</w:t>
      </w:r>
      <w:r w:rsidRPr="00D21E43">
        <w:t xml:space="preserve"> </w:t>
      </w:r>
    </w:p>
    <w:p w:rsidR="00497923" w:rsidRDefault="00497923" w:rsidP="0049792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hanging="642"/>
        <w:jc w:val="both"/>
      </w:pPr>
      <w:r w:rsidRPr="00D21E43">
        <w:t>opracowanie projektu uchwały w sprawie zasad wyznaczania oraz zasad działania Komitetu Rewitalizacji</w:t>
      </w:r>
      <w:r>
        <w:t>;</w:t>
      </w:r>
    </w:p>
    <w:p w:rsidR="00497923" w:rsidRPr="001B631E" w:rsidRDefault="00497923" w:rsidP="0049792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hanging="642"/>
        <w:jc w:val="both"/>
      </w:pPr>
      <w:r w:rsidRPr="001B631E">
        <w:rPr>
          <w:color w:val="000000"/>
        </w:rPr>
        <w:t>przeprowadzenie w imieniu Zamawiającego procesu konsultacji społecznych:</w:t>
      </w:r>
    </w:p>
    <w:p w:rsidR="00497923" w:rsidRDefault="00497923" w:rsidP="0049792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</w:pPr>
      <w:r w:rsidRPr="000929D4">
        <w:rPr>
          <w:color w:val="000000"/>
        </w:rPr>
        <w:t>projektu uchwały w sprawie wyznaczenia obszaru zdegradowanego i obszaru rewitalizacji</w:t>
      </w:r>
      <w:r>
        <w:rPr>
          <w:color w:val="000000"/>
        </w:rPr>
        <w:t>;</w:t>
      </w:r>
    </w:p>
    <w:p w:rsidR="00497923" w:rsidRDefault="00497923" w:rsidP="0049792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</w:pPr>
      <w:r w:rsidRPr="000929D4">
        <w:rPr>
          <w:color w:val="000000"/>
        </w:rPr>
        <w:t>projektu uchwały w sprawie wyznaczenia składu oraz działania Komitetu Rewitalizacji</w:t>
      </w:r>
      <w:r>
        <w:rPr>
          <w:color w:val="000000"/>
        </w:rPr>
        <w:t>;</w:t>
      </w:r>
    </w:p>
    <w:p w:rsidR="00497923" w:rsidRPr="001B631E" w:rsidRDefault="00497923" w:rsidP="0049792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</w:pPr>
      <w:r w:rsidRPr="000929D4">
        <w:rPr>
          <w:color w:val="000000"/>
        </w:rPr>
        <w:t>projektu GPR;</w:t>
      </w:r>
    </w:p>
    <w:p w:rsidR="00497923" w:rsidRPr="001B631E" w:rsidRDefault="00497923" w:rsidP="0049792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hanging="642"/>
        <w:jc w:val="both"/>
      </w:pPr>
      <w:r w:rsidRPr="001B631E">
        <w:rPr>
          <w:color w:val="000000"/>
        </w:rPr>
        <w:t>asystowanie Zamawiającemu w procesie opiniowania projektu dokumentu GPR</w:t>
      </w:r>
      <w:r>
        <w:rPr>
          <w:color w:val="000000"/>
        </w:rPr>
        <w:t>, polegające na ustaleniu katalogu podmiotów opiniujących GPR, wsparciu w opracowaniu treści wniosków o opinię, dostosowaniu treści GPR do uzyskanych opinii;</w:t>
      </w:r>
    </w:p>
    <w:p w:rsidR="00497923" w:rsidRPr="001B631E" w:rsidRDefault="00497923" w:rsidP="0049792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hanging="642"/>
        <w:jc w:val="both"/>
      </w:pPr>
      <w:r w:rsidRPr="007B6F47">
        <w:rPr>
          <w:color w:val="000000"/>
        </w:rPr>
        <w:t xml:space="preserve">asystowanie Zamawiającemu w procesie przeprowadzenia strategicznej oceny oddziaływania na środowisko projektu GPR (o ile będzie to zasadne), zgodnie z obowiązującymi w tym zakresie przepisami, polegające na wsparciu w opracowaniu treści wystąpień do właściwych organów, opracowaniu prognozy oddziaływania na środowisko </w:t>
      </w:r>
      <w:r w:rsidRPr="007B6F47">
        <w:rPr>
          <w:color w:val="000000"/>
        </w:rPr>
        <w:lastRenderedPageBreak/>
        <w:t xml:space="preserve">projektu GPR (o ile będzie to zasadne), przeprowadzeniu konsultacji społecznych na zasadach wynikających z ustawy z dnia 3 października 2008 r. o udostępnianiu informacji o środowisko i jego ochronie, udziale społeczeństwa w ochronie środowiska oraz ocenach oddziaływania na środowisko (opcjonalnie), wprowadzeniu zmian do projektu GPR wynikających z przeprowadzonej procedury.  </w:t>
      </w:r>
    </w:p>
    <w:p w:rsidR="00497923" w:rsidRPr="00D21E43" w:rsidRDefault="00497923" w:rsidP="0049792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hanging="642"/>
        <w:jc w:val="both"/>
      </w:pPr>
      <w:r w:rsidRPr="00D21E43">
        <w:t>asystowanie Zamawiającemu w przeprowadzeniu procesu weryfikacji dokumentu GPR</w:t>
      </w:r>
      <w:r>
        <w:t xml:space="preserve"> </w:t>
      </w:r>
      <w:r w:rsidRPr="00D21E43">
        <w:t xml:space="preserve">przez Urząd Marszałkowski </w:t>
      </w:r>
      <w:r>
        <w:t xml:space="preserve">Województwa Opolskiego, polegające na analizie uwag zgłoszonych do GPR oraz wprowadzeniu zmian do dokumentu z nich wynikających, </w:t>
      </w:r>
    </w:p>
    <w:p w:rsidR="00497923" w:rsidRPr="00D21E43" w:rsidRDefault="00497923" w:rsidP="00497923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ind w:left="709"/>
        <w:jc w:val="both"/>
      </w:pPr>
      <w:r w:rsidRPr="00D21E43">
        <w:t>Przedmiot umowy będzie realizowany w trzech etapach:</w:t>
      </w:r>
    </w:p>
    <w:p w:rsidR="00497923" w:rsidRPr="00D21E43" w:rsidRDefault="00497923" w:rsidP="0049792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</w:pPr>
      <w:r w:rsidRPr="00D21E43">
        <w:t>ETAP I – przygotowanie diagnozy w celu wyznaczenia obszaru zdegradowanego i obszaru rewitalizacji wraz z projektem uchwały i przeprowadzeniem konsultacji społecznych, zakończony przekazaniem projektu uchwały złożonej do Rady Gminy</w:t>
      </w:r>
      <w:r>
        <w:t>;</w:t>
      </w:r>
    </w:p>
    <w:p w:rsidR="00497923" w:rsidRPr="00D21E43" w:rsidRDefault="00497923" w:rsidP="0049792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</w:pPr>
      <w:r w:rsidRPr="00D21E43">
        <w:t>ETAP II - przygotowanie projektu GPR – wraz z przeprowadzeniem konsultacji społecznych oraz opiniowaniem GPR, a także strategiczną oceną oddziaływania na środowisko projektu GPR (o ile będzie to zasadne), zakończony przekazaniem projektu uchwały w sprawie przyjęcia GPR złożonej do Rady Gminy</w:t>
      </w:r>
      <w:r>
        <w:t>;</w:t>
      </w:r>
    </w:p>
    <w:p w:rsidR="00497923" w:rsidRPr="00D21E43" w:rsidRDefault="00497923" w:rsidP="0049792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jc w:val="both"/>
      </w:pPr>
      <w:r w:rsidRPr="00D21E43">
        <w:t>ETAP III – opracowanie projektu uchwały w sprawie zasad wyboru oraz zasad działania Komitetu Rewitalizacji wraz z konsultacjami oraz przedłożeniem GPR do weryfikacji przez Urząd Marszałkowski, zakończony uzyskaniem wpisu do Wykazu programów rewitalizacji gmin województwa</w:t>
      </w:r>
      <w:r>
        <w:t xml:space="preserve"> opolskiego</w:t>
      </w:r>
      <w:r w:rsidRPr="00D21E43">
        <w:t>.</w:t>
      </w:r>
    </w:p>
    <w:p w:rsidR="00497923" w:rsidRDefault="00497923" w:rsidP="00497923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Przygotowanie diagnozy służącej wyznaczeniu obszaru zdegradowanego i obszaru rewitalizacji będzie obejmowało:</w:t>
      </w:r>
    </w:p>
    <w:p w:rsidR="00497923" w:rsidRPr="00814A64" w:rsidRDefault="00497923" w:rsidP="00497923">
      <w:pPr>
        <w:pStyle w:val="Akapitzlist"/>
        <w:numPr>
          <w:ilvl w:val="0"/>
          <w:numId w:val="3"/>
        </w:numPr>
        <w:tabs>
          <w:tab w:val="clear" w:pos="360"/>
        </w:tabs>
        <w:autoSpaceDE w:val="0"/>
        <w:spacing w:after="0" w:line="276" w:lineRule="auto"/>
        <w:ind w:left="709" w:hanging="283"/>
        <w:jc w:val="both"/>
      </w:pPr>
      <w:r w:rsidRPr="00814A64">
        <w:t xml:space="preserve">Przeprowadzenie pełnej diagnozy całego obszaru gminy w układzie jednostek przestrzennych wskazanych przez </w:t>
      </w:r>
      <w:r>
        <w:t>W</w:t>
      </w:r>
      <w:r w:rsidRPr="00814A64">
        <w:t>ykonawcę. Przeprowadzenie analizy i diagnozy zróżnicowania sytuacji w sferze społecznej (badanie natężenia koncentracji negatywnych zjawisk o których mowa w art. 9 ust. 1 ustawy o rewitalizacji)</w:t>
      </w:r>
      <w:r>
        <w:t>,</w:t>
      </w:r>
      <w:r w:rsidRPr="00814A64">
        <w:t xml:space="preserve"> wskazanie miejsc występowania tych zjawisk oraz terenów cechujących się koncentracją kryzysu społecznego, współwystępującego z negatywnymi zjawiskami z innych sfer: gospodarczej, środowiskowej, przestrzenno-funkcjonalnej, technicznej (art. 9 ust. 1 pkt 1-4 ustawy). Dane niezbędne do przeprowadzenia analiz i diagnoz pozyskane zostaną przez Wykonawcę przy współudziale Zamawiającego.</w:t>
      </w:r>
    </w:p>
    <w:p w:rsidR="00497923" w:rsidRPr="00814A64" w:rsidRDefault="00497923" w:rsidP="00497923">
      <w:pPr>
        <w:pStyle w:val="Akapitzlist"/>
        <w:numPr>
          <w:ilvl w:val="0"/>
          <w:numId w:val="3"/>
        </w:numPr>
        <w:tabs>
          <w:tab w:val="clear" w:pos="360"/>
        </w:tabs>
        <w:autoSpaceDE w:val="0"/>
        <w:spacing w:after="0" w:line="276" w:lineRule="auto"/>
        <w:ind w:left="709" w:hanging="283"/>
        <w:jc w:val="both"/>
      </w:pPr>
      <w:r w:rsidRPr="00814A64">
        <w:t>Wyznaczenie obszaru zdegradowanego – wskazanie obszaru będącego w stanie kryzysowym z powodu koncentracji negatywnych zjawisk społecznych oraz co najmniej jednego negatywnego zjawiska w sferze gospodarczej, środowiskowej, przestrzenno-funkcjonalnej lub technicznej (art. 9 ust. 1 pkt 1-4 ustawy). Na etapie delimitacji Wykonawca winien uwzględnić możliwość podziału obszaru zdegradowanego na podobszary, w tym nieposiadające ze sobą wspólnych granic (art. 9 ust. 2). Obszar zdegradowany wyznaczony zostanie w oparciu o wcześniej przeprowadzone analizy i diagnozy gminy.</w:t>
      </w:r>
    </w:p>
    <w:p w:rsidR="00497923" w:rsidRPr="00814A64" w:rsidRDefault="00497923" w:rsidP="00497923">
      <w:pPr>
        <w:pStyle w:val="Akapitzlist"/>
        <w:numPr>
          <w:ilvl w:val="0"/>
          <w:numId w:val="3"/>
        </w:numPr>
        <w:tabs>
          <w:tab w:val="clear" w:pos="360"/>
        </w:tabs>
        <w:autoSpaceDE w:val="0"/>
        <w:spacing w:after="0" w:line="276" w:lineRule="auto"/>
        <w:ind w:left="709" w:hanging="283"/>
        <w:jc w:val="both"/>
      </w:pPr>
      <w:r w:rsidRPr="00814A64">
        <w:t xml:space="preserve">Wyznaczenie obszaru rewitalizacji – przeprowadzenie pogłębionej, szczegółowej analizy i diagnozy koncentracji negatywnych zjawisk zidentyfikowanych na obszarze zdegradowanym wraz z analizą wewnętrznych potencjałów obszaru istotnego z punktu widzenia rozwoju lokalnego. Obszar rewitalizacji nie może być większy niż 20% powierzchni gminy oraz zamieszkały przez więcej niż 30% liczby mieszkańców. Ponadto na etapie delimitacji Wykonawca winien uwzględnić możliwość podziału obszaru na podobszary (w tym nie posiadające wspólnych granic), a także uwzględnić możliwość włączenia do obszaru </w:t>
      </w:r>
      <w:r w:rsidRPr="00814A64">
        <w:lastRenderedPageBreak/>
        <w:t>rewitalizacji niezamieszkałych obszarów poprzemysłowych (</w:t>
      </w:r>
      <w:proofErr w:type="spellStart"/>
      <w:r w:rsidRPr="00814A64">
        <w:t>poportowych</w:t>
      </w:r>
      <w:proofErr w:type="spellEnd"/>
      <w:r w:rsidRPr="00814A64">
        <w:t xml:space="preserve"> i </w:t>
      </w:r>
      <w:proofErr w:type="spellStart"/>
      <w:r w:rsidRPr="00814A64">
        <w:t>powydobywczych</w:t>
      </w:r>
      <w:proofErr w:type="spellEnd"/>
      <w:r w:rsidRPr="00814A64">
        <w:t xml:space="preserve">), terenów powojskowych lub </w:t>
      </w:r>
      <w:proofErr w:type="spellStart"/>
      <w:r w:rsidRPr="00814A64">
        <w:t>pokolejowych</w:t>
      </w:r>
      <w:proofErr w:type="spellEnd"/>
      <w:r w:rsidRPr="00814A64">
        <w:t xml:space="preserve"> (art. 10 ust. 2 i 3 ustawy). </w:t>
      </w:r>
    </w:p>
    <w:p w:rsidR="00497923" w:rsidRDefault="00497923" w:rsidP="00497923">
      <w:pPr>
        <w:pStyle w:val="Akapitzlist"/>
        <w:numPr>
          <w:ilvl w:val="0"/>
          <w:numId w:val="3"/>
        </w:numPr>
        <w:tabs>
          <w:tab w:val="clear" w:pos="360"/>
          <w:tab w:val="num" w:pos="709"/>
        </w:tabs>
        <w:spacing w:after="120"/>
        <w:ind w:left="709" w:hanging="284"/>
        <w:contextualSpacing w:val="0"/>
        <w:jc w:val="both"/>
      </w:pPr>
      <w:r w:rsidRPr="002153D1">
        <w:t>Opracowanie mapy zawierającej granice obszaru zdegradowanego i obszaru rewitalizacji w skali co najmniej 1:5000 sporządzonej z wykorzystaniem treści mapy zasadniczej (art. 11 ust. 1). W przypadku uchwalenia miejscowego planu rewitalizacji lub specjalnej strefy rewitalizacji mapa winna wskazać granice tych obszarów.</w:t>
      </w:r>
      <w:r w:rsidRPr="00F90F0B">
        <w:t xml:space="preserve"> </w:t>
      </w:r>
    </w:p>
    <w:p w:rsidR="00497923" w:rsidRPr="00F7343C" w:rsidRDefault="00497923" w:rsidP="00497923">
      <w:pPr>
        <w:numPr>
          <w:ilvl w:val="0"/>
          <w:numId w:val="3"/>
        </w:numPr>
        <w:autoSpaceDE w:val="0"/>
        <w:spacing w:after="0" w:line="276" w:lineRule="auto"/>
        <w:ind w:left="709" w:hanging="283"/>
        <w:contextualSpacing/>
        <w:jc w:val="both"/>
      </w:pPr>
      <w:r w:rsidRPr="004339F9">
        <w:t>Na potrzeby wpisu do regionalnego wykazu programów rewitalizacji należy opracować bazy danych przestrzennych w wersji wektorowej obejmujące</w:t>
      </w:r>
      <w:r>
        <w:t xml:space="preserve"> </w:t>
      </w:r>
      <w:r w:rsidRPr="004339F9">
        <w:rPr>
          <w:rFonts w:ascii="Calibri" w:hAnsi="Calibri" w:cs="Arial"/>
          <w:bCs/>
        </w:rPr>
        <w:t>klas</w:t>
      </w:r>
      <w:r>
        <w:rPr>
          <w:rFonts w:ascii="Calibri" w:hAnsi="Calibri" w:cs="Arial"/>
          <w:bCs/>
        </w:rPr>
        <w:t>y</w:t>
      </w:r>
      <w:r w:rsidRPr="004339F9">
        <w:rPr>
          <w:rFonts w:ascii="Calibri" w:hAnsi="Calibri" w:cs="Arial"/>
          <w:bCs/>
        </w:rPr>
        <w:t xml:space="preserve"> obiektów zawierających granice:</w:t>
      </w:r>
    </w:p>
    <w:p w:rsidR="00497923" w:rsidRPr="004339F9" w:rsidRDefault="00497923" w:rsidP="00497923">
      <w:pPr>
        <w:numPr>
          <w:ilvl w:val="2"/>
          <w:numId w:val="3"/>
        </w:numPr>
        <w:tabs>
          <w:tab w:val="clear" w:pos="1800"/>
          <w:tab w:val="left" w:pos="993"/>
        </w:tabs>
        <w:spacing w:before="120" w:after="0" w:line="276" w:lineRule="auto"/>
        <w:ind w:left="1560" w:hanging="284"/>
        <w:contextualSpacing/>
        <w:jc w:val="both"/>
        <w:rPr>
          <w:rFonts w:ascii="Calibri" w:hAnsi="Calibri" w:cs="Arial"/>
        </w:rPr>
      </w:pPr>
      <w:r w:rsidRPr="004339F9">
        <w:rPr>
          <w:rFonts w:ascii="Calibri" w:hAnsi="Calibri" w:cs="Arial"/>
        </w:rPr>
        <w:t>obszaru rewitalizacji,</w:t>
      </w:r>
    </w:p>
    <w:p w:rsidR="00497923" w:rsidRPr="004339F9" w:rsidRDefault="00497923" w:rsidP="00497923">
      <w:pPr>
        <w:numPr>
          <w:ilvl w:val="2"/>
          <w:numId w:val="3"/>
        </w:numPr>
        <w:tabs>
          <w:tab w:val="clear" w:pos="1800"/>
        </w:tabs>
        <w:spacing w:before="120" w:after="0" w:line="276" w:lineRule="auto"/>
        <w:ind w:left="1560" w:hanging="284"/>
        <w:contextualSpacing/>
        <w:jc w:val="both"/>
        <w:rPr>
          <w:rFonts w:ascii="Calibri" w:hAnsi="Calibri" w:cs="Arial"/>
        </w:rPr>
      </w:pPr>
      <w:r w:rsidRPr="004339F9">
        <w:rPr>
          <w:rFonts w:ascii="Calibri" w:hAnsi="Calibri" w:cs="Arial"/>
        </w:rPr>
        <w:t>podobszarów rewitalizacji</w:t>
      </w:r>
      <w:r w:rsidRPr="004339F9">
        <w:rPr>
          <w:rFonts w:ascii="Calibri" w:hAnsi="Calibri" w:cs="Arial"/>
          <w:vertAlign w:val="superscript"/>
        </w:rPr>
        <w:t>*</w:t>
      </w:r>
      <w:r w:rsidRPr="004339F9">
        <w:rPr>
          <w:rFonts w:ascii="Calibri" w:hAnsi="Calibri" w:cs="Arial"/>
        </w:rPr>
        <w:t>,</w:t>
      </w:r>
    </w:p>
    <w:p w:rsidR="00497923" w:rsidRPr="004339F9" w:rsidRDefault="00497923" w:rsidP="00497923">
      <w:pPr>
        <w:numPr>
          <w:ilvl w:val="2"/>
          <w:numId w:val="3"/>
        </w:numPr>
        <w:tabs>
          <w:tab w:val="clear" w:pos="1800"/>
        </w:tabs>
        <w:spacing w:before="120" w:after="0" w:line="276" w:lineRule="auto"/>
        <w:ind w:left="1560" w:hanging="284"/>
        <w:contextualSpacing/>
        <w:jc w:val="both"/>
        <w:rPr>
          <w:rFonts w:ascii="Calibri" w:hAnsi="Calibri" w:cs="Arial"/>
        </w:rPr>
      </w:pPr>
      <w:r w:rsidRPr="004339F9">
        <w:rPr>
          <w:rFonts w:ascii="Calibri" w:hAnsi="Calibri" w:cs="Arial"/>
        </w:rPr>
        <w:t>obszaru zdegradowanego,</w:t>
      </w:r>
    </w:p>
    <w:p w:rsidR="00497923" w:rsidRPr="004339F9" w:rsidRDefault="00497923" w:rsidP="00497923">
      <w:pPr>
        <w:numPr>
          <w:ilvl w:val="2"/>
          <w:numId w:val="3"/>
        </w:numPr>
        <w:tabs>
          <w:tab w:val="clear" w:pos="1800"/>
        </w:tabs>
        <w:spacing w:before="120" w:after="0" w:line="276" w:lineRule="auto"/>
        <w:ind w:left="1560" w:hanging="284"/>
        <w:contextualSpacing/>
        <w:jc w:val="both"/>
        <w:rPr>
          <w:rFonts w:ascii="Calibri" w:hAnsi="Calibri" w:cs="Arial"/>
        </w:rPr>
      </w:pPr>
      <w:r w:rsidRPr="004339F9">
        <w:rPr>
          <w:rFonts w:ascii="Calibri" w:hAnsi="Calibri" w:cs="Arial"/>
        </w:rPr>
        <w:t>miejscowego planu rewitalizacji*,</w:t>
      </w:r>
    </w:p>
    <w:p w:rsidR="00497923" w:rsidRPr="004339F9" w:rsidRDefault="00497923" w:rsidP="00497923">
      <w:pPr>
        <w:numPr>
          <w:ilvl w:val="2"/>
          <w:numId w:val="3"/>
        </w:numPr>
        <w:tabs>
          <w:tab w:val="clear" w:pos="1800"/>
        </w:tabs>
        <w:spacing w:before="120" w:after="0" w:line="276" w:lineRule="auto"/>
        <w:ind w:left="1560" w:hanging="284"/>
        <w:contextualSpacing/>
        <w:jc w:val="both"/>
        <w:rPr>
          <w:rFonts w:ascii="Calibri" w:hAnsi="Calibri" w:cs="Arial"/>
        </w:rPr>
      </w:pPr>
      <w:r w:rsidRPr="004339F9">
        <w:rPr>
          <w:rFonts w:ascii="Calibri" w:hAnsi="Calibri" w:cs="Arial"/>
        </w:rPr>
        <w:t>specjalnej strefy rewitalizacji*.</w:t>
      </w:r>
    </w:p>
    <w:p w:rsidR="00497923" w:rsidRPr="004339F9" w:rsidRDefault="00497923" w:rsidP="00497923">
      <w:pPr>
        <w:autoSpaceDE w:val="0"/>
        <w:spacing w:after="0" w:line="276" w:lineRule="auto"/>
        <w:ind w:left="709"/>
        <w:contextualSpacing/>
        <w:jc w:val="both"/>
        <w:rPr>
          <w:rFonts w:ascii="Calibri" w:hAnsi="Calibri" w:cs="Arial"/>
        </w:rPr>
      </w:pPr>
      <w:r w:rsidRPr="004339F9">
        <w:rPr>
          <w:rFonts w:ascii="Calibri" w:hAnsi="Calibri" w:cs="Arial"/>
          <w:vertAlign w:val="superscript"/>
        </w:rPr>
        <w:t>*</w:t>
      </w:r>
      <w:r w:rsidRPr="004339F9">
        <w:rPr>
          <w:rFonts w:ascii="Calibri" w:hAnsi="Calibri" w:cs="Arial"/>
        </w:rPr>
        <w:t>Jeżeli  obszar nie został utworzony, wówczas należy go pominąć.</w:t>
      </w:r>
    </w:p>
    <w:p w:rsidR="00497923" w:rsidRPr="004339F9" w:rsidRDefault="00497923" w:rsidP="00497923">
      <w:pPr>
        <w:autoSpaceDE w:val="0"/>
        <w:spacing w:after="0" w:line="276" w:lineRule="auto"/>
        <w:ind w:left="709"/>
        <w:contextualSpacing/>
        <w:jc w:val="both"/>
      </w:pPr>
    </w:p>
    <w:p w:rsidR="00497923" w:rsidRPr="004339F9" w:rsidRDefault="00497923" w:rsidP="00497923">
      <w:pPr>
        <w:autoSpaceDE w:val="0"/>
        <w:spacing w:after="0" w:line="276" w:lineRule="auto"/>
        <w:ind w:left="709"/>
        <w:contextualSpacing/>
        <w:jc w:val="both"/>
      </w:pPr>
      <w:r w:rsidRPr="004339F9">
        <w:rPr>
          <w:rFonts w:ascii="Calibri" w:hAnsi="Calibri" w:cs="Arial"/>
          <w:bCs/>
        </w:rPr>
        <w:t>Granice obszarów należy opracować w postaci wektorowej w oparciu o granice działek w układzie PL-2000 pozyskane z właściwych miejscowo do położenia gminy powiatowych ośrodków dokumentacji geodezyjnej i kartograficznej.</w:t>
      </w:r>
    </w:p>
    <w:p w:rsidR="00497923" w:rsidRPr="004339F9" w:rsidRDefault="00497923" w:rsidP="00497923">
      <w:pPr>
        <w:autoSpaceDE w:val="0"/>
        <w:spacing w:after="0" w:line="276" w:lineRule="auto"/>
        <w:ind w:left="709"/>
        <w:contextualSpacing/>
        <w:jc w:val="both"/>
      </w:pPr>
    </w:p>
    <w:p w:rsidR="00497923" w:rsidRPr="004339F9" w:rsidRDefault="00497923" w:rsidP="00497923">
      <w:pPr>
        <w:tabs>
          <w:tab w:val="left" w:pos="142"/>
        </w:tabs>
        <w:ind w:left="708"/>
        <w:jc w:val="both"/>
        <w:rPr>
          <w:rFonts w:ascii="Calibri" w:hAnsi="Calibri" w:cs="Arial"/>
          <w:b/>
        </w:rPr>
      </w:pPr>
      <w:r w:rsidRPr="004339F9">
        <w:rPr>
          <w:rFonts w:ascii="Calibri" w:hAnsi="Calibri"/>
        </w:rPr>
        <w:t>Klasy obiektów należy opracować zgodnie z poniższymi wymaganiami technicznymi:</w:t>
      </w:r>
    </w:p>
    <w:p w:rsidR="00497923" w:rsidRPr="004339F9" w:rsidRDefault="00497923" w:rsidP="00497923">
      <w:pPr>
        <w:numPr>
          <w:ilvl w:val="1"/>
          <w:numId w:val="14"/>
        </w:numPr>
        <w:tabs>
          <w:tab w:val="left" w:pos="142"/>
        </w:tabs>
        <w:spacing w:after="0" w:line="276" w:lineRule="auto"/>
        <w:ind w:left="1133" w:hanging="425"/>
        <w:contextualSpacing/>
        <w:jc w:val="both"/>
        <w:rPr>
          <w:rFonts w:ascii="Calibri" w:hAnsi="Calibri" w:cs="Arial"/>
          <w:b/>
        </w:rPr>
      </w:pPr>
      <w:r w:rsidRPr="004339F9">
        <w:rPr>
          <w:rFonts w:ascii="Calibri" w:hAnsi="Calibri"/>
        </w:rPr>
        <w:t xml:space="preserve">Format plików: </w:t>
      </w:r>
      <w:proofErr w:type="spellStart"/>
      <w:r w:rsidRPr="004339F9">
        <w:rPr>
          <w:rFonts w:ascii="Calibri" w:hAnsi="Calibri"/>
        </w:rPr>
        <w:t>GeoPackage</w:t>
      </w:r>
      <w:proofErr w:type="spellEnd"/>
      <w:r w:rsidRPr="004339F9">
        <w:rPr>
          <w:rFonts w:ascii="Calibri" w:hAnsi="Calibri"/>
        </w:rPr>
        <w:t xml:space="preserve"> (</w:t>
      </w:r>
      <w:proofErr w:type="spellStart"/>
      <w:r w:rsidRPr="004339F9">
        <w:rPr>
          <w:rFonts w:ascii="Calibri" w:hAnsi="Calibri"/>
        </w:rPr>
        <w:t>gpkg</w:t>
      </w:r>
      <w:proofErr w:type="spellEnd"/>
      <w:r w:rsidRPr="004339F9">
        <w:rPr>
          <w:rFonts w:ascii="Calibri" w:hAnsi="Calibri"/>
        </w:rPr>
        <w:t xml:space="preserve">) lub </w:t>
      </w:r>
      <w:proofErr w:type="spellStart"/>
      <w:r w:rsidRPr="004339F9">
        <w:rPr>
          <w:rFonts w:ascii="Calibri" w:hAnsi="Calibri"/>
        </w:rPr>
        <w:t>Shapefile</w:t>
      </w:r>
      <w:proofErr w:type="spellEnd"/>
      <w:r w:rsidRPr="004339F9">
        <w:rPr>
          <w:rFonts w:ascii="Calibri" w:hAnsi="Calibri"/>
        </w:rPr>
        <w:t xml:space="preserve"> (</w:t>
      </w:r>
      <w:proofErr w:type="spellStart"/>
      <w:r w:rsidRPr="004339F9">
        <w:rPr>
          <w:rFonts w:ascii="Calibri" w:hAnsi="Calibri"/>
        </w:rPr>
        <w:t>shp</w:t>
      </w:r>
      <w:proofErr w:type="spellEnd"/>
      <w:r w:rsidRPr="004339F9">
        <w:rPr>
          <w:rFonts w:ascii="Calibri" w:hAnsi="Calibri"/>
        </w:rPr>
        <w:t>),</w:t>
      </w:r>
    </w:p>
    <w:p w:rsidR="00497923" w:rsidRPr="004339F9" w:rsidRDefault="00497923" w:rsidP="00497923">
      <w:pPr>
        <w:numPr>
          <w:ilvl w:val="1"/>
          <w:numId w:val="14"/>
        </w:numPr>
        <w:tabs>
          <w:tab w:val="left" w:pos="142"/>
        </w:tabs>
        <w:spacing w:after="0" w:line="276" w:lineRule="auto"/>
        <w:ind w:left="1133" w:hanging="425"/>
        <w:contextualSpacing/>
        <w:jc w:val="both"/>
        <w:rPr>
          <w:rFonts w:ascii="Calibri" w:hAnsi="Calibri" w:cs="Arial"/>
          <w:b/>
        </w:rPr>
      </w:pPr>
      <w:r w:rsidRPr="004339F9">
        <w:rPr>
          <w:rFonts w:ascii="Calibri" w:hAnsi="Calibri"/>
        </w:rPr>
        <w:t>Układ współrzędnych: PL-2000,</w:t>
      </w:r>
    </w:p>
    <w:p w:rsidR="00497923" w:rsidRPr="004339F9" w:rsidRDefault="00497923" w:rsidP="00497923">
      <w:pPr>
        <w:numPr>
          <w:ilvl w:val="1"/>
          <w:numId w:val="14"/>
        </w:numPr>
        <w:tabs>
          <w:tab w:val="left" w:pos="142"/>
        </w:tabs>
        <w:spacing w:after="0" w:line="276" w:lineRule="auto"/>
        <w:ind w:left="1133" w:hanging="425"/>
        <w:contextualSpacing/>
        <w:jc w:val="both"/>
        <w:rPr>
          <w:rFonts w:ascii="Calibri" w:hAnsi="Calibri" w:cs="Arial"/>
          <w:b/>
        </w:rPr>
      </w:pPr>
      <w:r w:rsidRPr="004339F9">
        <w:rPr>
          <w:rFonts w:ascii="Calibri" w:hAnsi="Calibri"/>
        </w:rPr>
        <w:t xml:space="preserve">Typ geometrii: </w:t>
      </w:r>
      <w:proofErr w:type="spellStart"/>
      <w:r w:rsidRPr="004339F9">
        <w:rPr>
          <w:rFonts w:ascii="Calibri" w:hAnsi="Calibri"/>
        </w:rPr>
        <w:t>area</w:t>
      </w:r>
      <w:proofErr w:type="spellEnd"/>
      <w:r w:rsidRPr="004339F9">
        <w:rPr>
          <w:rFonts w:ascii="Calibri" w:hAnsi="Calibri"/>
        </w:rPr>
        <w:t>. Pozyskiwana geometria powinna być dociągana (</w:t>
      </w:r>
      <w:proofErr w:type="spellStart"/>
      <w:r w:rsidRPr="004339F9">
        <w:rPr>
          <w:rFonts w:ascii="Calibri" w:hAnsi="Calibri"/>
        </w:rPr>
        <w:t>snapowana</w:t>
      </w:r>
      <w:proofErr w:type="spellEnd"/>
      <w:r w:rsidRPr="004339F9">
        <w:rPr>
          <w:rFonts w:ascii="Calibri" w:hAnsi="Calibri"/>
        </w:rPr>
        <w:t>) do granic działek ewidencyjnych,</w:t>
      </w:r>
    </w:p>
    <w:p w:rsidR="00497923" w:rsidRPr="004339F9" w:rsidRDefault="00497923" w:rsidP="00497923">
      <w:pPr>
        <w:numPr>
          <w:ilvl w:val="1"/>
          <w:numId w:val="14"/>
        </w:numPr>
        <w:tabs>
          <w:tab w:val="left" w:pos="142"/>
        </w:tabs>
        <w:spacing w:after="0" w:line="276" w:lineRule="auto"/>
        <w:ind w:left="1133" w:hanging="425"/>
        <w:contextualSpacing/>
        <w:jc w:val="both"/>
        <w:rPr>
          <w:rFonts w:ascii="Calibri" w:hAnsi="Calibri" w:cs="Arial"/>
          <w:b/>
        </w:rPr>
      </w:pPr>
      <w:r w:rsidRPr="004339F9">
        <w:rPr>
          <w:rFonts w:ascii="Calibri" w:hAnsi="Calibri"/>
        </w:rPr>
        <w:t xml:space="preserve">Nazwę poszczególnych klas obiektów należy zapisać w formacie: </w:t>
      </w:r>
      <w:proofErr w:type="spellStart"/>
      <w:r w:rsidRPr="004339F9">
        <w:rPr>
          <w:rFonts w:ascii="Calibri" w:hAnsi="Calibri"/>
        </w:rPr>
        <w:t>terytGminy_nazwa</w:t>
      </w:r>
      <w:proofErr w:type="spellEnd"/>
      <w:r w:rsidRPr="004339F9">
        <w:rPr>
          <w:rFonts w:ascii="Calibri" w:hAnsi="Calibri"/>
        </w:rPr>
        <w:t>, np.: 160233_obsz_rewit</w:t>
      </w:r>
    </w:p>
    <w:p w:rsidR="00497923" w:rsidRPr="004339F9" w:rsidRDefault="00497923" w:rsidP="00497923">
      <w:pPr>
        <w:tabs>
          <w:tab w:val="left" w:pos="142"/>
        </w:tabs>
        <w:spacing w:line="276" w:lineRule="auto"/>
        <w:ind w:left="1133"/>
        <w:contextualSpacing/>
        <w:jc w:val="both"/>
        <w:rPr>
          <w:rFonts w:ascii="Calibri" w:hAnsi="Calibri"/>
        </w:rPr>
      </w:pPr>
      <w:r w:rsidRPr="004339F9">
        <w:rPr>
          <w:rFonts w:ascii="Calibri" w:hAnsi="Calibri"/>
        </w:rPr>
        <w:t>160233_podobsz_rewit</w:t>
      </w:r>
    </w:p>
    <w:p w:rsidR="00497923" w:rsidRPr="004339F9" w:rsidRDefault="00497923" w:rsidP="00497923">
      <w:pPr>
        <w:tabs>
          <w:tab w:val="left" w:pos="142"/>
        </w:tabs>
        <w:spacing w:line="276" w:lineRule="auto"/>
        <w:ind w:left="1133"/>
        <w:contextualSpacing/>
        <w:jc w:val="both"/>
        <w:rPr>
          <w:rFonts w:ascii="Calibri" w:hAnsi="Calibri"/>
        </w:rPr>
      </w:pPr>
      <w:r w:rsidRPr="004339F9">
        <w:rPr>
          <w:rFonts w:ascii="Calibri" w:hAnsi="Calibri"/>
        </w:rPr>
        <w:t>160233_obsz_zdegradowane</w:t>
      </w:r>
    </w:p>
    <w:p w:rsidR="00497923" w:rsidRPr="004339F9" w:rsidRDefault="00497923" w:rsidP="00497923">
      <w:pPr>
        <w:tabs>
          <w:tab w:val="left" w:pos="142"/>
        </w:tabs>
        <w:spacing w:line="276" w:lineRule="auto"/>
        <w:ind w:left="1133"/>
        <w:contextualSpacing/>
        <w:jc w:val="both"/>
        <w:rPr>
          <w:rFonts w:ascii="Calibri" w:hAnsi="Calibri"/>
        </w:rPr>
      </w:pPr>
      <w:r w:rsidRPr="004339F9">
        <w:rPr>
          <w:rFonts w:ascii="Calibri" w:hAnsi="Calibri"/>
        </w:rPr>
        <w:t>160233_podobsz_zdegr</w:t>
      </w:r>
    </w:p>
    <w:p w:rsidR="00497923" w:rsidRPr="004339F9" w:rsidRDefault="00497923" w:rsidP="00497923">
      <w:pPr>
        <w:tabs>
          <w:tab w:val="left" w:pos="142"/>
        </w:tabs>
        <w:spacing w:line="276" w:lineRule="auto"/>
        <w:ind w:left="1133"/>
        <w:contextualSpacing/>
        <w:jc w:val="both"/>
        <w:rPr>
          <w:rFonts w:ascii="Calibri" w:hAnsi="Calibri"/>
        </w:rPr>
      </w:pPr>
      <w:r w:rsidRPr="004339F9">
        <w:rPr>
          <w:rFonts w:ascii="Calibri" w:hAnsi="Calibri"/>
        </w:rPr>
        <w:t>160233_plan_rewit</w:t>
      </w:r>
    </w:p>
    <w:p w:rsidR="00497923" w:rsidRDefault="00497923" w:rsidP="00497923">
      <w:pPr>
        <w:tabs>
          <w:tab w:val="left" w:pos="142"/>
        </w:tabs>
        <w:spacing w:line="276" w:lineRule="auto"/>
        <w:ind w:left="1134"/>
        <w:jc w:val="both"/>
        <w:rPr>
          <w:rFonts w:ascii="Calibri" w:hAnsi="Calibri"/>
        </w:rPr>
      </w:pPr>
      <w:r w:rsidRPr="004339F9">
        <w:rPr>
          <w:rFonts w:ascii="Calibri" w:hAnsi="Calibri"/>
        </w:rPr>
        <w:t>160233_strefa_rewit</w:t>
      </w:r>
    </w:p>
    <w:p w:rsidR="00497923" w:rsidRPr="004339F9" w:rsidRDefault="00497923" w:rsidP="00497923">
      <w:pPr>
        <w:tabs>
          <w:tab w:val="left" w:pos="142"/>
        </w:tabs>
        <w:spacing w:line="276" w:lineRule="auto"/>
        <w:ind w:left="709"/>
        <w:jc w:val="both"/>
      </w:pPr>
      <w:r w:rsidRPr="004339F9">
        <w:t>Szczegółowy wykaz atrybutów dla klas obiektów zawarto w Załączniku do OPZ dot. wymagań technicznych do opracowania bazy danych przestrzennych w wersji wektorowej</w:t>
      </w:r>
    </w:p>
    <w:p w:rsidR="00497923" w:rsidRPr="00814A64" w:rsidRDefault="00497923" w:rsidP="00497923">
      <w:pPr>
        <w:pStyle w:val="Akapitzlist"/>
        <w:numPr>
          <w:ilvl w:val="0"/>
          <w:numId w:val="3"/>
        </w:numPr>
        <w:tabs>
          <w:tab w:val="clear" w:pos="360"/>
        </w:tabs>
        <w:autoSpaceDE w:val="0"/>
        <w:spacing w:after="0" w:line="276" w:lineRule="auto"/>
        <w:ind w:left="709" w:hanging="283"/>
        <w:jc w:val="both"/>
      </w:pPr>
      <w:r>
        <w:t xml:space="preserve">Przygotowanie projektu uchwały w sprawie wyznaczenia obszaru zdegradowanego i obszaru rewitalizacji wraz z załącznikami mapowymi. </w:t>
      </w:r>
    </w:p>
    <w:p w:rsidR="00497923" w:rsidRDefault="00497923" w:rsidP="00497923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/>
          <w:lang w:eastAsia="pl-PL"/>
        </w:rPr>
      </w:pPr>
      <w:r w:rsidRPr="001614FC">
        <w:rPr>
          <w:rFonts w:eastAsia="Times New Roman"/>
          <w:lang w:eastAsia="pl-PL"/>
        </w:rPr>
        <w:t xml:space="preserve">Przygotowanie </w:t>
      </w:r>
      <w:r>
        <w:rPr>
          <w:rFonts w:eastAsia="Times New Roman"/>
          <w:lang w:eastAsia="pl-PL"/>
        </w:rPr>
        <w:t xml:space="preserve">gminnego </w:t>
      </w:r>
      <w:r w:rsidRPr="001614FC">
        <w:rPr>
          <w:rFonts w:eastAsia="Times New Roman"/>
          <w:lang w:eastAsia="pl-PL"/>
        </w:rPr>
        <w:t xml:space="preserve">programu rewitalizacji pełniącego rolę IIT zostanie dokonane poprzez sporządzenie </w:t>
      </w:r>
      <w:r w:rsidRPr="001614FC">
        <w:rPr>
          <w:rFonts w:eastAsia="Times New Roman"/>
          <w:i/>
          <w:lang w:eastAsia="pl-PL"/>
        </w:rPr>
        <w:t>„G</w:t>
      </w:r>
      <w:r>
        <w:rPr>
          <w:rFonts w:eastAsia="Times New Roman"/>
          <w:i/>
          <w:lang w:eastAsia="pl-PL"/>
        </w:rPr>
        <w:t>minnego Programu Rewitalizacji Olszanki</w:t>
      </w:r>
      <w:r w:rsidRPr="001614FC">
        <w:rPr>
          <w:rFonts w:eastAsia="Times New Roman"/>
          <w:i/>
          <w:lang w:eastAsia="pl-PL"/>
        </w:rPr>
        <w:t>”</w:t>
      </w:r>
      <w:r w:rsidRPr="001614FC">
        <w:rPr>
          <w:rFonts w:eastAsia="Times New Roman"/>
          <w:iCs/>
          <w:lang w:eastAsia="pl-PL"/>
        </w:rPr>
        <w:t>, zwanego dalej GPR</w:t>
      </w:r>
      <w:r w:rsidRPr="001614FC">
        <w:rPr>
          <w:rFonts w:eastAsia="Times New Roman"/>
          <w:lang w:eastAsia="pl-PL"/>
        </w:rPr>
        <w:t>, zgodnie z postanowieniami ustawy z dnia 9 października 2015 r. o rewitalizacji oraz ustawy o zasadach realizacji zadań finansowanych ze środków europejskich w perspektywie finansowej 2021 – 2027,</w:t>
      </w:r>
      <w:r w:rsidRPr="0004085D">
        <w:rPr>
          <w:rFonts w:cstheme="minorHAnsi"/>
        </w:rPr>
        <w:t xml:space="preserve"> </w:t>
      </w:r>
      <w:r>
        <w:rPr>
          <w:rFonts w:cstheme="minorHAnsi"/>
        </w:rPr>
        <w:t xml:space="preserve">zgodnie z </w:t>
      </w:r>
      <w:r w:rsidRPr="00CE2E5C">
        <w:rPr>
          <w:rFonts w:cstheme="minorHAnsi"/>
        </w:rPr>
        <w:t>Zasadami realizacji instrumentów terytorialnych w Polsce w perspektywie finansowej UE na lata 2021-2027</w:t>
      </w:r>
      <w:r>
        <w:rPr>
          <w:rFonts w:cstheme="minorHAnsi"/>
        </w:rPr>
        <w:t>,</w:t>
      </w:r>
      <w:r w:rsidRPr="001614FC">
        <w:rPr>
          <w:rFonts w:eastAsia="Times New Roman"/>
          <w:lang w:eastAsia="pl-PL"/>
        </w:rPr>
        <w:t xml:space="preserve"> obejmujące</w:t>
      </w:r>
      <w:r>
        <w:rPr>
          <w:rFonts w:eastAsia="Times New Roman"/>
          <w:lang w:eastAsia="pl-PL"/>
        </w:rPr>
        <w:t>go</w:t>
      </w:r>
      <w:r w:rsidRPr="001614FC">
        <w:rPr>
          <w:rFonts w:eastAsia="Times New Roman"/>
          <w:lang w:eastAsia="pl-PL"/>
        </w:rPr>
        <w:t>:</w:t>
      </w:r>
    </w:p>
    <w:p w:rsidR="00497923" w:rsidRPr="00F57358" w:rsidRDefault="00497923" w:rsidP="00497923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 w:rsidRPr="00F57358">
        <w:rPr>
          <w:rFonts w:eastAsia="Times New Roman"/>
          <w:lang w:eastAsia="pl-PL"/>
        </w:rPr>
        <w:lastRenderedPageBreak/>
        <w:t xml:space="preserve">przeprowadzenie szczegółowej diagnozy czynników i zjawisk kryzysowych oraz diagnozy lokalnych potencjałów poprzez wskazanie potrzeb rewitalizacyjnych występujących na obszarze </w:t>
      </w:r>
      <w:r>
        <w:rPr>
          <w:rFonts w:eastAsia="Times New Roman"/>
          <w:lang w:eastAsia="pl-PL"/>
        </w:rPr>
        <w:t xml:space="preserve">rewitalizacji </w:t>
      </w:r>
      <w:r w:rsidRPr="00F57358">
        <w:rPr>
          <w:rFonts w:eastAsia="Times New Roman"/>
          <w:lang w:eastAsia="pl-PL"/>
        </w:rPr>
        <w:t xml:space="preserve">– w oparciu o bieżące uwarunkowania rozwojowe i dane statystyczne nie starsze niż z </w:t>
      </w:r>
      <w:r>
        <w:rPr>
          <w:rFonts w:eastAsia="Times New Roman"/>
          <w:lang w:eastAsia="pl-PL"/>
        </w:rPr>
        <w:t>2021</w:t>
      </w:r>
      <w:r w:rsidRPr="00F57358">
        <w:rPr>
          <w:rFonts w:eastAsia="Times New Roman"/>
          <w:lang w:eastAsia="pl-PL"/>
        </w:rPr>
        <w:t xml:space="preserve"> r.; 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 w:rsidRPr="00F57358">
        <w:rPr>
          <w:rFonts w:eastAsia="Times New Roman"/>
          <w:lang w:eastAsia="pl-PL"/>
        </w:rPr>
        <w:t>dokonanie opisu powiązań GPR z dokumentami strategicznymi gminy, w tym</w:t>
      </w:r>
      <w:r w:rsidRPr="00F82F39">
        <w:rPr>
          <w:rFonts w:eastAsia="Times New Roman" w:cstheme="minorHAnsi"/>
          <w:lang w:eastAsia="pl-PL"/>
        </w:rPr>
        <w:t>:</w:t>
      </w:r>
      <w:r w:rsidRPr="000929D4">
        <w:rPr>
          <w:rFonts w:cstheme="minorHAnsi"/>
          <w:i/>
          <w:iCs/>
          <w:color w:val="5F6368"/>
          <w:shd w:val="clear" w:color="auto" w:fill="FFFFFF"/>
        </w:rPr>
        <w:t xml:space="preserve"> </w:t>
      </w:r>
      <w:r w:rsidRPr="000929D4">
        <w:rPr>
          <w:rStyle w:val="Uwydatnienie"/>
          <w:rFonts w:cstheme="minorHAnsi"/>
          <w:i w:val="0"/>
          <w:iCs w:val="0"/>
          <w:shd w:val="clear" w:color="auto" w:fill="FFFFFF"/>
        </w:rPr>
        <w:t>studium uwarunkowań i kierunków zagospodarowania przestrzennego</w:t>
      </w:r>
      <w:r w:rsidRPr="00C769AD">
        <w:rPr>
          <w:rFonts w:eastAsia="Times New Roman"/>
          <w:lang w:eastAsia="pl-PL"/>
        </w:rPr>
        <w:t>, strategii</w:t>
      </w:r>
      <w:r w:rsidRPr="00F57358">
        <w:rPr>
          <w:rFonts w:eastAsia="Times New Roman"/>
          <w:lang w:eastAsia="pl-PL"/>
        </w:rPr>
        <w:t xml:space="preserve"> rozwoju gminy</w:t>
      </w:r>
      <w:r>
        <w:rPr>
          <w:rFonts w:eastAsia="Times New Roman"/>
          <w:lang w:eastAsia="pl-PL"/>
        </w:rPr>
        <w:t xml:space="preserve"> </w:t>
      </w:r>
      <w:r w:rsidRPr="00F57358">
        <w:rPr>
          <w:rFonts w:eastAsia="Times New Roman"/>
          <w:lang w:eastAsia="pl-PL"/>
        </w:rPr>
        <w:t>i strategii rozwiązywania problemów społecznych;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opracowanie</w:t>
      </w:r>
      <w:r w:rsidRPr="00F57358">
        <w:rPr>
          <w:rFonts w:eastAsia="Times New Roman"/>
          <w:lang w:eastAsia="pl-PL"/>
        </w:rPr>
        <w:t xml:space="preserve"> opisu wizji stanu obszaru po przeprowadzeniu rewitalizacji;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opracowanie </w:t>
      </w:r>
      <w:r w:rsidRPr="00F57358">
        <w:rPr>
          <w:rFonts w:eastAsia="Times New Roman"/>
          <w:lang w:eastAsia="pl-PL"/>
        </w:rPr>
        <w:t>celów rewitalizacji oraz odpowiadających im kierunków działań służących eliminacji lub ograniczeniu negatywnych zjawisk;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opracowanie </w:t>
      </w:r>
      <w:r w:rsidRPr="00F57358">
        <w:rPr>
          <w:rFonts w:eastAsia="Times New Roman"/>
          <w:lang w:eastAsia="pl-PL"/>
        </w:rPr>
        <w:t>opisu przedsięwzięć rewitalizacyjnych, w szczególności o charakterze społecznym oraz gospodarczym, środowiskowym, przestrzenno-funkcjonalnym lub technicznym, ujętych w ramach:</w:t>
      </w:r>
    </w:p>
    <w:p w:rsidR="00497923" w:rsidRPr="00F57358" w:rsidRDefault="00497923" w:rsidP="004979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1276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lang w:eastAsia="pl-PL"/>
        </w:rPr>
        <w:t xml:space="preserve">listy planowanych </w:t>
      </w:r>
      <w:r w:rsidRPr="00F57358">
        <w:rPr>
          <w:rFonts w:eastAsia="Times New Roman"/>
          <w:color w:val="000000"/>
          <w:lang w:eastAsia="pl-PL"/>
        </w:rPr>
        <w:t>podstawowych przedsięwzięć rewitalizacyjnych, wraz z ich opisami zawierającymi w odniesieniu do każdego przedsięwzięcia: nazwy i wskazanie podmiotów je realizujących, zakresu realizowanych zadań, lokalizacji, szacowanej wartości, prognozowanych rezultaty wraz ze sposobem ich oceny w odniesieniu do celów GPR, opisu działań zapewniających dostępność osobom ze szczególnymi potrzebami, o których mowa w</w:t>
      </w:r>
      <w:r w:rsidRPr="00F57358">
        <w:rPr>
          <w:rFonts w:eastAsia="Times New Roman"/>
          <w:lang w:eastAsia="pl-PL"/>
        </w:rPr>
        <w:t xml:space="preserve"> ustawie </w:t>
      </w:r>
      <w:r w:rsidRPr="00F57358">
        <w:rPr>
          <w:rFonts w:eastAsia="Times New Roman"/>
          <w:color w:val="000000"/>
          <w:lang w:eastAsia="pl-PL"/>
        </w:rPr>
        <w:t>z dnia 19 lipca 2019 r. o zapewnianiu dostępności osobom ze szczególnymi potrzebami, o ile dane te są możliwe do wskazania,</w:t>
      </w:r>
    </w:p>
    <w:p w:rsidR="00497923" w:rsidRPr="00F57358" w:rsidRDefault="00497923" w:rsidP="0049792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1276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listy</w:t>
      </w:r>
      <w:r w:rsidRPr="00F57358">
        <w:rPr>
          <w:rFonts w:eastAsia="Times New Roman"/>
          <w:color w:val="000000"/>
          <w:lang w:eastAsia="pl-PL"/>
        </w:rPr>
        <w:t xml:space="preserve"> pozostałych dopuszczalnych przedsięwzięć rewitalizacyjnych, realizujących kierunki działań służących eliminacji lub ograniczeniu negatywnych zjawisk;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 w:rsidRPr="00F57358">
        <w:rPr>
          <w:rFonts w:eastAsia="Times New Roman"/>
          <w:lang w:eastAsia="pl-PL"/>
        </w:rPr>
        <w:t>określenie mechanizmów integrowania działań, o których mowa w art. 15 ust 1 pkt 4 Ustawy o rewitalizacji oraz przedsięwzięć rewitalizacyjnych;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 w:rsidRPr="00F57358">
        <w:rPr>
          <w:rFonts w:eastAsia="Times New Roman"/>
          <w:lang w:eastAsia="pl-PL"/>
        </w:rPr>
        <w:t>określenie szacunkowych ram finansowych wraz z szacunkowym wskazaniem środków finansowych ze źródeł publicznych i prywatnych;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opracowanie</w:t>
      </w:r>
      <w:r w:rsidRPr="00F57358">
        <w:rPr>
          <w:rFonts w:eastAsia="Times New Roman"/>
          <w:lang w:eastAsia="pl-PL"/>
        </w:rPr>
        <w:t xml:space="preserve"> opisu struktury zarządzania realizacją GPR, ze wskazaniem kosztów zarządzania i ramowym harmonogramem realizacji GPR;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opracowanie</w:t>
      </w:r>
      <w:r w:rsidRPr="00F57358">
        <w:rPr>
          <w:rFonts w:eastAsia="Times New Roman"/>
          <w:lang w:eastAsia="pl-PL"/>
        </w:rPr>
        <w:t xml:space="preserve"> systemu monitorowania i oceny GPR;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t xml:space="preserve">określenie niezbędnych zmian w uchwałach, o których mowa </w:t>
      </w:r>
      <w:r w:rsidRPr="00C769AD">
        <w:rPr>
          <w:rFonts w:eastAsia="Times New Roman"/>
          <w:color w:val="000000"/>
          <w:lang w:eastAsia="pl-PL"/>
        </w:rPr>
        <w:t xml:space="preserve">w </w:t>
      </w:r>
      <w:hyperlink r:id="rId8" w:anchor="/document/16903658?unitId=art(21)ust(1)&amp;cm=DOCUMENT" w:history="1">
        <w:r w:rsidRPr="000929D4">
          <w:rPr>
            <w:rFonts w:eastAsia="Times New Roman"/>
            <w:color w:val="000000"/>
            <w:lang w:eastAsia="pl-PL"/>
          </w:rPr>
          <w:t>art. 21 ust. 1</w:t>
        </w:r>
      </w:hyperlink>
      <w:r w:rsidRPr="00C769AD">
        <w:rPr>
          <w:rFonts w:eastAsia="Times New Roman"/>
          <w:color w:val="000000"/>
          <w:lang w:eastAsia="pl-PL"/>
        </w:rPr>
        <w:t xml:space="preserve"> ustaw</w:t>
      </w:r>
      <w:r w:rsidRPr="00F57358">
        <w:rPr>
          <w:rFonts w:eastAsia="Times New Roman"/>
          <w:color w:val="000000"/>
          <w:lang w:eastAsia="pl-PL"/>
        </w:rPr>
        <w:t xml:space="preserve"> z dnia 21 czerwca 2001 r. o ochronie praw lokatorów, mieszkaniowym zasobie gminy i o zmianie Kodeksu cywilnego (</w:t>
      </w:r>
      <w:r w:rsidRPr="000929D4">
        <w:rPr>
          <w:rStyle w:val="cf01"/>
          <w:rFonts w:cstheme="minorHAnsi"/>
        </w:rPr>
        <w:t xml:space="preserve">Dz. U. z 2022 r. poz. 172 z </w:t>
      </w:r>
      <w:proofErr w:type="spellStart"/>
      <w:r w:rsidRPr="000929D4">
        <w:rPr>
          <w:rStyle w:val="cf01"/>
          <w:rFonts w:cstheme="minorHAnsi"/>
        </w:rPr>
        <w:t>późn</w:t>
      </w:r>
      <w:proofErr w:type="spellEnd"/>
      <w:r w:rsidRPr="000929D4">
        <w:rPr>
          <w:rStyle w:val="cf01"/>
          <w:rFonts w:cstheme="minorHAnsi"/>
        </w:rPr>
        <w:t>. zm.</w:t>
      </w:r>
      <w:r w:rsidRPr="00F57358">
        <w:rPr>
          <w:rFonts w:eastAsia="Times New Roman"/>
          <w:color w:val="000000"/>
          <w:lang w:eastAsia="pl-PL"/>
        </w:rPr>
        <w:t>);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t>określenie niezbędnych zmian w uchwale, o której mowa w art. 7 ust. 3 ustawy o rewitalizacji;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t>wskazanie, czy na obszarze rewitalizacji ma zostać ustanowiona Specjalna Strefa Rewitalizacji, o której mowa w art. 25 ustawy o rewitalizacji, wraz ze wskazaniem okresu jej obowiązywania;</w:t>
      </w:r>
    </w:p>
    <w:p w:rsidR="00497923" w:rsidRPr="00F57358" w:rsidRDefault="00497923" w:rsidP="00497923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t>wskazanie sposobu realizacji GPR w zakresie planowania i zagospodarowania przestrzennego, w tym:</w:t>
      </w:r>
    </w:p>
    <w:p w:rsidR="00497923" w:rsidRPr="00F57358" w:rsidRDefault="00497923" w:rsidP="00497923">
      <w:pPr>
        <w:pStyle w:val="Akapitzlist"/>
        <w:numPr>
          <w:ilvl w:val="1"/>
          <w:numId w:val="6"/>
        </w:numPr>
        <w:spacing w:after="0" w:line="276" w:lineRule="auto"/>
        <w:ind w:left="1276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t>wskazanie zakresu niezbędnych zmian w studium uwarunkowań i kierunków zagospodarowania przestrzennego gminy</w:t>
      </w:r>
      <w:r>
        <w:rPr>
          <w:rFonts w:eastAsia="Times New Roman"/>
          <w:color w:val="000000"/>
          <w:lang w:eastAsia="pl-PL"/>
        </w:rPr>
        <w:t>;</w:t>
      </w:r>
    </w:p>
    <w:p w:rsidR="00497923" w:rsidRPr="00F57358" w:rsidRDefault="00497923" w:rsidP="00497923">
      <w:pPr>
        <w:pStyle w:val="Akapitzlist"/>
        <w:numPr>
          <w:ilvl w:val="1"/>
          <w:numId w:val="6"/>
        </w:numPr>
        <w:spacing w:after="0" w:line="276" w:lineRule="auto"/>
        <w:ind w:left="1276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t>wskazanie miejscowych planów zagospodarowania przestrzennego koniecznych                     do uchwalenia albo zmiany</w:t>
      </w:r>
      <w:r>
        <w:rPr>
          <w:rFonts w:eastAsia="Times New Roman"/>
          <w:color w:val="000000"/>
          <w:lang w:eastAsia="pl-PL"/>
        </w:rPr>
        <w:t>;</w:t>
      </w:r>
    </w:p>
    <w:p w:rsidR="00497923" w:rsidRPr="00F57358" w:rsidRDefault="00497923" w:rsidP="00497923">
      <w:pPr>
        <w:pStyle w:val="Akapitzlist"/>
        <w:numPr>
          <w:ilvl w:val="1"/>
          <w:numId w:val="6"/>
        </w:numPr>
        <w:spacing w:after="0" w:line="276" w:lineRule="auto"/>
        <w:ind w:left="1276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lastRenderedPageBreak/>
        <w:t xml:space="preserve">w przypadku wskazania konieczności uchwalenia miejscowego planu </w:t>
      </w:r>
      <w:r>
        <w:rPr>
          <w:rFonts w:eastAsia="Times New Roman"/>
          <w:color w:val="000000"/>
          <w:lang w:eastAsia="pl-PL"/>
        </w:rPr>
        <w:t>rewitalizacji</w:t>
      </w:r>
      <w:r w:rsidRPr="00F57358">
        <w:rPr>
          <w:rFonts w:eastAsia="Times New Roman"/>
          <w:color w:val="000000"/>
          <w:lang w:eastAsia="pl-PL"/>
        </w:rPr>
        <w:t xml:space="preserve">,                  o którym mowa w </w:t>
      </w:r>
      <w:hyperlink r:id="rId9" w:anchor="/document/17027058?unitId=art(37(f))ust(1)&amp;cm=DOCUMENT" w:history="1">
        <w:r w:rsidRPr="00F57358">
          <w:rPr>
            <w:rFonts w:eastAsia="Times New Roman"/>
            <w:color w:val="000000"/>
            <w:u w:val="single"/>
            <w:lang w:eastAsia="pl-PL"/>
          </w:rPr>
          <w:t>art. 37f ust. 1</w:t>
        </w:r>
      </w:hyperlink>
      <w:r w:rsidRPr="00F57358">
        <w:rPr>
          <w:rFonts w:eastAsia="Times New Roman"/>
          <w:color w:val="000000"/>
          <w:lang w:eastAsia="pl-PL"/>
        </w:rPr>
        <w:t xml:space="preserve"> ustawy z dnia 27 marca 2003 r. o planowaniu                                 i zagospodarowaniu przestrzennym - wskazanie granic obszarów, dla których plan ten będzie procedowany łącznie z procedurą scaleń i podziałów nieruchomości,</w:t>
      </w:r>
      <w:r>
        <w:rPr>
          <w:rFonts w:eastAsia="Times New Roman"/>
          <w:color w:val="000000"/>
          <w:lang w:eastAsia="pl-PL"/>
        </w:rPr>
        <w:t xml:space="preserve"> </w:t>
      </w:r>
      <w:r w:rsidRPr="00F57358">
        <w:rPr>
          <w:rFonts w:eastAsia="Times New Roman"/>
          <w:color w:val="000000"/>
          <w:lang w:eastAsia="pl-PL"/>
        </w:rPr>
        <w:t>a także wytyczne w zakresie ustaleń tego planu;</w:t>
      </w:r>
    </w:p>
    <w:p w:rsidR="00497923" w:rsidRDefault="00497923" w:rsidP="00497923">
      <w:pPr>
        <w:numPr>
          <w:ilvl w:val="0"/>
          <w:numId w:val="4"/>
        </w:numPr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F57358">
        <w:rPr>
          <w:rFonts w:eastAsia="Times New Roman"/>
          <w:color w:val="000000"/>
          <w:lang w:eastAsia="pl-PL"/>
        </w:rPr>
        <w:t xml:space="preserve">załącznik graficzny przedstawiający podstawowe kierunki zmian funkcjonalno-przestrzennych obszaru rewitalizacji sporządzony na mapie w skali co najmniej 1:5000 opracowanej z wykorzystaniem treści mapy zasadniczej, a w przypadku jej braku -  z wykorzystaniem treści mapy ewidencyjnej w rozumieniu </w:t>
      </w:r>
      <w:hyperlink r:id="rId10" w:anchor="/document/16793127?cm=DOCUMENT" w:history="1">
        <w:r w:rsidRPr="00F57358">
          <w:rPr>
            <w:rFonts w:eastAsia="Times New Roman"/>
            <w:color w:val="000000"/>
            <w:lang w:eastAsia="pl-PL"/>
          </w:rPr>
          <w:t>ustawy</w:t>
        </w:r>
      </w:hyperlink>
      <w:r w:rsidRPr="00F57358">
        <w:rPr>
          <w:rFonts w:eastAsia="Times New Roman"/>
          <w:color w:val="000000"/>
          <w:lang w:eastAsia="pl-PL"/>
        </w:rPr>
        <w:t xml:space="preserve"> z dnia 17 maja 1989 r. - Prawo geodezyjne i kartograficzne.</w:t>
      </w:r>
    </w:p>
    <w:p w:rsidR="00497923" w:rsidRPr="00050FB0" w:rsidRDefault="00497923" w:rsidP="00497923">
      <w:pPr>
        <w:numPr>
          <w:ilvl w:val="0"/>
          <w:numId w:val="4"/>
        </w:numPr>
        <w:spacing w:after="0" w:line="276" w:lineRule="auto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 xml:space="preserve">Ujęciu </w:t>
      </w:r>
      <w:r w:rsidRPr="00050FB0">
        <w:rPr>
          <w:rFonts w:eastAsia="Times New Roman"/>
          <w:color w:val="000000"/>
          <w:lang w:eastAsia="pl-PL"/>
        </w:rPr>
        <w:t xml:space="preserve">w treści GPR wymogów wynikających z art. 36 ust. 8 ustawy z dnia 28 kwietnia 2022 r. o zasadach realizacji zadań finansowanych ze środków europejskich w perspektywie finansowej 2021 – 2027, </w:t>
      </w:r>
      <w:r>
        <w:rPr>
          <w:rFonts w:eastAsia="Times New Roman"/>
          <w:color w:val="000000"/>
          <w:lang w:eastAsia="pl-PL"/>
        </w:rPr>
        <w:t xml:space="preserve">potwierdzających posiadanie </w:t>
      </w:r>
      <w:r w:rsidRPr="00F57358">
        <w:rPr>
          <w:rFonts w:eastAsia="Times New Roman"/>
          <w:color w:val="000000"/>
          <w:lang w:eastAsia="pl-PL"/>
        </w:rPr>
        <w:t xml:space="preserve">przez GPR </w:t>
      </w:r>
      <w:r>
        <w:rPr>
          <w:rFonts w:eastAsia="Times New Roman"/>
          <w:color w:val="000000"/>
          <w:lang w:eastAsia="pl-PL"/>
        </w:rPr>
        <w:t xml:space="preserve">następujących elementów </w:t>
      </w:r>
      <w:r w:rsidRPr="00F57358">
        <w:rPr>
          <w:rFonts w:eastAsia="Times New Roman"/>
          <w:color w:val="000000"/>
          <w:lang w:eastAsia="pl-PL"/>
        </w:rPr>
        <w:t>strategii IIT</w:t>
      </w:r>
      <w:r>
        <w:rPr>
          <w:rFonts w:eastAsia="Times New Roman"/>
          <w:color w:val="000000"/>
          <w:lang w:eastAsia="pl-PL"/>
        </w:rPr>
        <w:t xml:space="preserve">: </w:t>
      </w:r>
    </w:p>
    <w:p w:rsidR="00497923" w:rsidRDefault="00497923" w:rsidP="00497923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synteza</w:t>
      </w:r>
      <w:r w:rsidRPr="00F57358">
        <w:rPr>
          <w:rFonts w:eastAsia="Times New Roman"/>
          <w:color w:val="000000"/>
          <w:lang w:eastAsia="pl-PL"/>
        </w:rPr>
        <w:t xml:space="preserve"> diagnozy obszaru realizacji IIT wraz z analizą problemów, potrzeb i potencjałów rozwojowych, w tym wzajemnych powiązań gospodarczych, społecznych i środowiskowych;</w:t>
      </w:r>
    </w:p>
    <w:p w:rsidR="00497923" w:rsidRDefault="00497923" w:rsidP="00497923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E708F1">
        <w:rPr>
          <w:rFonts w:eastAsia="Times New Roman"/>
          <w:color w:val="000000"/>
          <w:lang w:eastAsia="pl-PL"/>
        </w:rPr>
        <w:t>cel</w:t>
      </w:r>
      <w:r>
        <w:rPr>
          <w:rFonts w:eastAsia="Times New Roman"/>
          <w:color w:val="000000"/>
          <w:lang w:eastAsia="pl-PL"/>
        </w:rPr>
        <w:t>e</w:t>
      </w:r>
      <w:r w:rsidRPr="00E708F1">
        <w:rPr>
          <w:rFonts w:eastAsia="Times New Roman"/>
          <w:color w:val="000000"/>
          <w:lang w:eastAsia="pl-PL"/>
        </w:rPr>
        <w:t>, jakie mają być zrealizowane w ramach IIT, z wykorzystaniem podejścia zintegrowanego, oczekiwanych wskaźników rezultatu i produktu powiązanych z realizacją</w:t>
      </w:r>
      <w:r>
        <w:rPr>
          <w:rFonts w:eastAsia="Times New Roman"/>
          <w:color w:val="000000"/>
          <w:lang w:eastAsia="pl-PL"/>
        </w:rPr>
        <w:t xml:space="preserve"> właściwego</w:t>
      </w:r>
      <w:r w:rsidRPr="00E708F1">
        <w:rPr>
          <w:rFonts w:eastAsia="Times New Roman"/>
          <w:color w:val="000000"/>
          <w:lang w:eastAsia="pl-PL"/>
        </w:rPr>
        <w:t xml:space="preserve"> programu;</w:t>
      </w:r>
    </w:p>
    <w:p w:rsidR="00497923" w:rsidRDefault="00497923" w:rsidP="00497923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E708F1">
        <w:rPr>
          <w:rFonts w:eastAsia="Times New Roman"/>
          <w:color w:val="000000"/>
          <w:lang w:eastAsia="pl-PL"/>
        </w:rPr>
        <w:t>projekt</w:t>
      </w:r>
      <w:r>
        <w:rPr>
          <w:rFonts w:eastAsia="Times New Roman"/>
          <w:color w:val="000000"/>
          <w:lang w:eastAsia="pl-PL"/>
        </w:rPr>
        <w:t>y</w:t>
      </w:r>
      <w:r w:rsidRPr="00E708F1">
        <w:rPr>
          <w:rFonts w:eastAsia="Times New Roman"/>
          <w:color w:val="000000"/>
          <w:lang w:eastAsia="pl-PL"/>
        </w:rPr>
        <w:t xml:space="preserve"> realizując</w:t>
      </w:r>
      <w:r>
        <w:rPr>
          <w:rFonts w:eastAsia="Times New Roman"/>
          <w:color w:val="000000"/>
          <w:lang w:eastAsia="pl-PL"/>
        </w:rPr>
        <w:t>e</w:t>
      </w:r>
      <w:r w:rsidRPr="00E708F1">
        <w:rPr>
          <w:rFonts w:eastAsia="Times New Roman"/>
          <w:color w:val="000000"/>
          <w:lang w:eastAsia="pl-PL"/>
        </w:rPr>
        <w:t xml:space="preserve"> cele, o których mowa w pkt a, wraz z informacją na temat sposobu ich wskazania oraz powiązania z innymi projektami;</w:t>
      </w:r>
    </w:p>
    <w:p w:rsidR="00497923" w:rsidRDefault="00497923" w:rsidP="00497923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E708F1">
        <w:rPr>
          <w:rFonts w:eastAsia="Times New Roman"/>
          <w:color w:val="000000"/>
          <w:lang w:eastAsia="pl-PL"/>
        </w:rPr>
        <w:t>opis procesu zaangażowania partnerów społeczno-gospodarczych oraz właściwych podmiotów reprezentujących społeczeństwo obywatelskie, podmiotów działających na rzecz ochrony środowiska oraz podmiotów odpowiedzialnych za promowanie włączenia społecznego, praw podstawowych, praw osób niepełnosprawnych, równości płci i niedyskryminacji w pracach nad przygotowaniem i wdrażaniem strategii IIT.</w:t>
      </w:r>
    </w:p>
    <w:p w:rsidR="00497923" w:rsidRPr="004B37E7" w:rsidRDefault="00497923" w:rsidP="0049792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4B37E7">
        <w:rPr>
          <w:rFonts w:eastAsia="Times New Roman"/>
          <w:color w:val="000000"/>
          <w:lang w:eastAsia="pl-PL"/>
        </w:rPr>
        <w:t xml:space="preserve">Ujęciu w treści GPR cech przypisanych przez </w:t>
      </w:r>
      <w:r w:rsidRPr="000929D4">
        <w:rPr>
          <w:rFonts w:cstheme="minorHAnsi"/>
          <w:i/>
        </w:rPr>
        <w:t>Zasady realizacji instrumentów terytorialnych w Polsce w perspektywie finansowej UE na lata 2021-2027</w:t>
      </w:r>
      <w:r w:rsidRPr="004B37E7">
        <w:rPr>
          <w:rFonts w:cstheme="minorHAnsi"/>
          <w:i/>
        </w:rPr>
        <w:t xml:space="preserve">, </w:t>
      </w:r>
      <w:r w:rsidRPr="000929D4">
        <w:rPr>
          <w:rFonts w:cstheme="minorHAnsi"/>
        </w:rPr>
        <w:t>a w szczególności</w:t>
      </w:r>
      <w:r w:rsidRPr="004B37E7">
        <w:rPr>
          <w:rFonts w:cstheme="minorHAnsi"/>
        </w:rPr>
        <w:t>:</w:t>
      </w:r>
      <w:r w:rsidRPr="000929D4">
        <w:rPr>
          <w:rFonts w:cstheme="minorHAnsi"/>
        </w:rPr>
        <w:t xml:space="preserve"> </w:t>
      </w:r>
      <w:r w:rsidRPr="004B37E7">
        <w:rPr>
          <w:rFonts w:cstheme="minorHAnsi"/>
        </w:rPr>
        <w:t xml:space="preserve">1) kompleksowość i podejście zintegrowane, 2) koncentracja, 3) </w:t>
      </w:r>
      <w:r>
        <w:rPr>
          <w:rFonts w:cstheme="minorHAnsi"/>
        </w:rPr>
        <w:t>k</w:t>
      </w:r>
      <w:r w:rsidRPr="004B37E7">
        <w:rPr>
          <w:rFonts w:cstheme="minorHAnsi"/>
        </w:rPr>
        <w:t>omplementarność przedsięwzięć rewitalizacyjnych.</w:t>
      </w:r>
    </w:p>
    <w:p w:rsidR="00497923" w:rsidRPr="00814A64" w:rsidRDefault="00497923" w:rsidP="00497923">
      <w:pPr>
        <w:pStyle w:val="Akapitzlist"/>
        <w:numPr>
          <w:ilvl w:val="0"/>
          <w:numId w:val="1"/>
        </w:numPr>
        <w:tabs>
          <w:tab w:val="clear" w:pos="720"/>
          <w:tab w:val="num" w:pos="360"/>
        </w:tabs>
        <w:autoSpaceDE w:val="0"/>
        <w:spacing w:after="0" w:line="276" w:lineRule="auto"/>
        <w:ind w:left="360"/>
        <w:jc w:val="both"/>
      </w:pPr>
      <w:r w:rsidRPr="00814A64">
        <w:t xml:space="preserve">Przygotowanie uchwały Rady </w:t>
      </w:r>
      <w:r>
        <w:t>Gminy</w:t>
      </w:r>
      <w:r w:rsidRPr="00814A64">
        <w:t xml:space="preserve"> określającej zasady wyznaczania składu oraz działania Komitetu Rewitalizacji</w:t>
      </w:r>
      <w:r>
        <w:t xml:space="preserve"> w</w:t>
      </w:r>
      <w:r w:rsidRPr="00814A64">
        <w:t xml:space="preserve">raz z procedurą konsultacji społecznych projektu </w:t>
      </w:r>
      <w:r>
        <w:t>uchwały.</w:t>
      </w:r>
    </w:p>
    <w:p w:rsidR="00497923" w:rsidRPr="00EA2E16" w:rsidRDefault="00497923" w:rsidP="00497923">
      <w:pPr>
        <w:pStyle w:val="Akapitzlist"/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Wykonawca zobowiązany jest do:</w:t>
      </w:r>
    </w:p>
    <w:p w:rsidR="00497923" w:rsidRPr="00EA2E16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współpracy z Zamawiającym, co oznacza udział przedstawiciela Wykonawcy w min. 3 spotkaniach w siedzibie Zamawiającego;</w:t>
      </w:r>
    </w:p>
    <w:p w:rsidR="00497923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przeprowadzenia konsultacji społecznych</w:t>
      </w:r>
      <w:r>
        <w:rPr>
          <w:rFonts w:eastAsia="Times New Roman"/>
          <w:color w:val="000000"/>
          <w:lang w:eastAsia="pl-PL"/>
        </w:rPr>
        <w:t>:</w:t>
      </w:r>
    </w:p>
    <w:p w:rsidR="00497923" w:rsidRDefault="00497923" w:rsidP="00497923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projektu uchwały w sprawie wyznaczenia obszaru zdegradowanego i obszaru rewitalizacji;</w:t>
      </w:r>
    </w:p>
    <w:p w:rsidR="00497923" w:rsidRDefault="00497923" w:rsidP="00497923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 xml:space="preserve">projektu uchwały w sprawie wyznaczenia składu oraz działania Komitetu Rewitalizacji; </w:t>
      </w:r>
    </w:p>
    <w:p w:rsidR="00497923" w:rsidRDefault="00497923" w:rsidP="00497923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projektu GPR</w:t>
      </w:r>
      <w:r>
        <w:rPr>
          <w:rFonts w:eastAsia="Times New Roman"/>
          <w:color w:val="000000"/>
          <w:lang w:eastAsia="pl-PL"/>
        </w:rPr>
        <w:t>;</w:t>
      </w:r>
    </w:p>
    <w:p w:rsidR="00497923" w:rsidRDefault="00497923" w:rsidP="00497923">
      <w:pPr>
        <w:autoSpaceDE w:val="0"/>
        <w:autoSpaceDN w:val="0"/>
        <w:adjustRightInd w:val="0"/>
        <w:spacing w:after="0"/>
        <w:ind w:left="709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w f</w:t>
      </w:r>
      <w:r w:rsidRPr="00EA2E16">
        <w:rPr>
          <w:rFonts w:eastAsia="Times New Roman"/>
          <w:color w:val="000000"/>
          <w:lang w:eastAsia="pl-PL"/>
        </w:rPr>
        <w:t>ormach wskazanych w ustawie o rewitalizacji art. 6 ust. 3 pkt 1 i 2), w tym co najmniej organizacja</w:t>
      </w:r>
      <w:r>
        <w:rPr>
          <w:rFonts w:eastAsia="Times New Roman"/>
          <w:color w:val="000000"/>
          <w:lang w:eastAsia="pl-PL"/>
        </w:rPr>
        <w:t>:</w:t>
      </w:r>
    </w:p>
    <w:p w:rsidR="00497923" w:rsidRDefault="00497923" w:rsidP="0049792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lang w:eastAsia="pl-PL"/>
        </w:rPr>
      </w:pPr>
      <w:r w:rsidRPr="000929D4">
        <w:rPr>
          <w:rFonts w:eastAsia="Times New Roman"/>
          <w:color w:val="000000"/>
          <w:lang w:eastAsia="pl-PL"/>
        </w:rPr>
        <w:lastRenderedPageBreak/>
        <w:t>1 warsztatu diagnostycznego dla liderów społecznych, przedstawicieli Urzędu Gminy, Radnych, przedstawicieli biznesu, mieszkańców</w:t>
      </w:r>
      <w:r>
        <w:rPr>
          <w:rFonts w:eastAsia="Times New Roman"/>
          <w:color w:val="000000"/>
          <w:lang w:eastAsia="pl-PL"/>
        </w:rPr>
        <w:t>;</w:t>
      </w:r>
    </w:p>
    <w:p w:rsidR="00497923" w:rsidRPr="000929D4" w:rsidRDefault="00497923" w:rsidP="0049792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lang w:eastAsia="pl-PL"/>
        </w:rPr>
      </w:pPr>
      <w:r w:rsidRPr="000929D4">
        <w:rPr>
          <w:rFonts w:eastAsia="Times New Roman"/>
          <w:color w:val="000000"/>
          <w:lang w:eastAsia="pl-PL"/>
        </w:rPr>
        <w:t>minimum trzech spotkań konsultacyjnych z mieszkańcami wraz z opracowaniem raportów podsumowujących – po jednym na każdy proces konsultacji ujętych w zamówieniu projektów uchwał;</w:t>
      </w:r>
    </w:p>
    <w:p w:rsidR="00497923" w:rsidRPr="00EA2E16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asysty przy uzyskaniu opinii i uzgodnień od podmiotów (wskazanych w art. 17 ust. 2 pkt 4 lit. a ustawy o rewitalizacji) a w przypadku uwag naniesienie poprawek do</w:t>
      </w:r>
      <w:r>
        <w:rPr>
          <w:rFonts w:eastAsia="Times New Roman"/>
          <w:color w:val="000000"/>
          <w:lang w:eastAsia="pl-PL"/>
        </w:rPr>
        <w:t xml:space="preserve"> ww.</w:t>
      </w:r>
      <w:r w:rsidRPr="00EA2E16">
        <w:rPr>
          <w:rFonts w:eastAsia="Times New Roman"/>
          <w:color w:val="000000"/>
          <w:lang w:eastAsia="pl-PL"/>
        </w:rPr>
        <w:t xml:space="preserve"> dokumentu</w:t>
      </w:r>
      <w:r>
        <w:rPr>
          <w:rFonts w:eastAsia="Times New Roman"/>
          <w:color w:val="000000"/>
          <w:lang w:eastAsia="pl-PL"/>
        </w:rPr>
        <w:t>;</w:t>
      </w:r>
    </w:p>
    <w:p w:rsidR="00497923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przeprowadzenia strategicznej oceny oddziaływania na środowisko (jako element warunkowy, uzależniony od uzgodnienia ze stosownymi organami)</w:t>
      </w:r>
      <w:r>
        <w:rPr>
          <w:rFonts w:eastAsia="Times New Roman"/>
          <w:color w:val="000000"/>
          <w:lang w:eastAsia="pl-PL"/>
        </w:rPr>
        <w:t>;</w:t>
      </w:r>
      <w:r w:rsidRPr="00EA2E16">
        <w:rPr>
          <w:rFonts w:eastAsia="Times New Roman"/>
          <w:color w:val="000000"/>
          <w:lang w:eastAsia="pl-PL"/>
        </w:rPr>
        <w:t xml:space="preserve"> w przypadku stwierdzenia konieczności przeprowadzenia strategicznej oceny oddziaływania</w:t>
      </w:r>
      <w:r>
        <w:rPr>
          <w:rFonts w:eastAsia="Times New Roman"/>
          <w:color w:val="000000"/>
          <w:lang w:eastAsia="pl-PL"/>
        </w:rPr>
        <w:t xml:space="preserve"> </w:t>
      </w:r>
      <w:r w:rsidRPr="00EA2E16">
        <w:rPr>
          <w:rFonts w:eastAsia="Times New Roman"/>
          <w:color w:val="000000"/>
          <w:lang w:eastAsia="pl-PL"/>
        </w:rPr>
        <w:t>na środowisko projektu GPR</w:t>
      </w:r>
      <w:r>
        <w:rPr>
          <w:rFonts w:eastAsia="Times New Roman"/>
          <w:color w:val="000000"/>
          <w:lang w:eastAsia="pl-PL"/>
        </w:rPr>
        <w:t xml:space="preserve"> – opracowanie prognozy oddziaływania na środowisko</w:t>
      </w:r>
      <w:r w:rsidRPr="00EA2E16">
        <w:rPr>
          <w:rFonts w:eastAsia="Times New Roman"/>
          <w:color w:val="000000"/>
          <w:lang w:eastAsia="pl-PL"/>
        </w:rPr>
        <w:t xml:space="preserve">, która powinna zawierać informacje zgodnie z art. 51 ust. 2 ustawy z dnia 3 października 2008 r. o udostępnianiu informacji o środowisku i </w:t>
      </w:r>
      <w:r w:rsidRPr="00F82F39">
        <w:rPr>
          <w:rFonts w:eastAsia="Times New Roman" w:cstheme="minorHAnsi"/>
          <w:color w:val="000000"/>
          <w:lang w:eastAsia="pl-PL"/>
        </w:rPr>
        <w:t>udziale społeczeństwa w ochronie środowiska oraz o ocenach oddziaływania na środowisko (</w:t>
      </w:r>
      <w:r w:rsidRPr="000929D4">
        <w:rPr>
          <w:rStyle w:val="cf01"/>
          <w:rFonts w:cstheme="minorHAnsi"/>
        </w:rPr>
        <w:t>Dz. U. z 2022 r., poz.1029</w:t>
      </w:r>
      <w:r>
        <w:rPr>
          <w:rStyle w:val="cf01"/>
        </w:rPr>
        <w:t xml:space="preserve"> </w:t>
      </w:r>
      <w:r w:rsidRPr="00EA2E16">
        <w:rPr>
          <w:rFonts w:eastAsia="Times New Roman"/>
          <w:color w:val="000000"/>
          <w:lang w:eastAsia="pl-PL"/>
        </w:rPr>
        <w:t xml:space="preserve">z </w:t>
      </w:r>
      <w:proofErr w:type="spellStart"/>
      <w:r w:rsidRPr="00EA2E16">
        <w:rPr>
          <w:rFonts w:eastAsia="Times New Roman"/>
          <w:color w:val="000000"/>
          <w:lang w:eastAsia="pl-PL"/>
        </w:rPr>
        <w:t>późn</w:t>
      </w:r>
      <w:proofErr w:type="spellEnd"/>
      <w:r w:rsidRPr="00EA2E16">
        <w:rPr>
          <w:rFonts w:eastAsia="Times New Roman"/>
          <w:color w:val="000000"/>
          <w:lang w:eastAsia="pl-PL"/>
        </w:rPr>
        <w:t>. zm.) oraz powinna być zgodna z ustalonym przez organy zakresem opracowania;</w:t>
      </w:r>
    </w:p>
    <w:p w:rsidR="00497923" w:rsidRPr="00EA2E16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asysty w procesie weryfikacji GPR w procedurze wpisu do Wykazu programów rewitalizacji województwa opolskiego, z uwzględnieniem konieczności zmiany GPR w sytuacji negatywnego zaopiniowania dokumentu;</w:t>
      </w:r>
    </w:p>
    <w:p w:rsidR="00497923" w:rsidRPr="00EA2E16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przekazania kompletn</w:t>
      </w:r>
      <w:r>
        <w:rPr>
          <w:rFonts w:eastAsia="Times New Roman"/>
          <w:color w:val="000000"/>
          <w:lang w:eastAsia="pl-PL"/>
        </w:rPr>
        <w:t>ych</w:t>
      </w:r>
      <w:r w:rsidRPr="00EA2E16">
        <w:rPr>
          <w:rFonts w:eastAsia="Times New Roman"/>
          <w:color w:val="000000"/>
          <w:lang w:eastAsia="pl-PL"/>
        </w:rPr>
        <w:t xml:space="preserve"> opracowa</w:t>
      </w:r>
      <w:r>
        <w:rPr>
          <w:rFonts w:eastAsia="Times New Roman"/>
          <w:color w:val="000000"/>
          <w:lang w:eastAsia="pl-PL"/>
        </w:rPr>
        <w:t>ń niezbędnych</w:t>
      </w:r>
      <w:r w:rsidRPr="00EA2E16">
        <w:rPr>
          <w:rFonts w:eastAsia="Times New Roman"/>
          <w:color w:val="000000"/>
          <w:lang w:eastAsia="pl-PL"/>
        </w:rPr>
        <w:t xml:space="preserve"> do </w:t>
      </w:r>
      <w:r>
        <w:rPr>
          <w:rFonts w:eastAsia="Times New Roman"/>
          <w:color w:val="000000"/>
          <w:lang w:eastAsia="pl-PL"/>
        </w:rPr>
        <w:t xml:space="preserve">ich </w:t>
      </w:r>
      <w:r w:rsidRPr="00EA2E16">
        <w:rPr>
          <w:rFonts w:eastAsia="Times New Roman"/>
          <w:color w:val="000000"/>
          <w:lang w:eastAsia="pl-PL"/>
        </w:rPr>
        <w:t>uchwalenia, w tym przygotowanie        uzasadnienia projekt</w:t>
      </w:r>
      <w:r>
        <w:rPr>
          <w:rFonts w:eastAsia="Times New Roman"/>
          <w:color w:val="000000"/>
          <w:lang w:eastAsia="pl-PL"/>
        </w:rPr>
        <w:t>ów</w:t>
      </w:r>
      <w:r w:rsidRPr="00EA2E16">
        <w:rPr>
          <w:rFonts w:eastAsia="Times New Roman"/>
          <w:color w:val="000000"/>
          <w:lang w:eastAsia="pl-PL"/>
        </w:rPr>
        <w:t xml:space="preserve"> uchwał;</w:t>
      </w:r>
    </w:p>
    <w:p w:rsidR="00497923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udziału w prezentacji założeń i celów</w:t>
      </w:r>
      <w:r>
        <w:rPr>
          <w:rFonts w:eastAsia="Times New Roman"/>
          <w:color w:val="000000"/>
          <w:lang w:eastAsia="pl-PL"/>
        </w:rPr>
        <w:t>:</w:t>
      </w:r>
    </w:p>
    <w:p w:rsidR="00497923" w:rsidRDefault="00497923" w:rsidP="00497923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diagnozy w celu wyznaczenia obszaru zdegradowanego i obszaru rewitalizacji;</w:t>
      </w:r>
    </w:p>
    <w:p w:rsidR="00497923" w:rsidRPr="00EA2E16" w:rsidRDefault="00497923" w:rsidP="00497923">
      <w:pPr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GPR oraz dokumentu na posiedzeniach komisji i sesji Rady Gminy;</w:t>
      </w:r>
    </w:p>
    <w:p w:rsidR="00497923" w:rsidRPr="00EA2E16" w:rsidRDefault="00497923" w:rsidP="00497923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color w:val="000000"/>
          <w:lang w:eastAsia="pl-PL"/>
        </w:rPr>
      </w:pPr>
      <w:r w:rsidRPr="00EA2E16">
        <w:rPr>
          <w:rFonts w:eastAsia="Times New Roman"/>
          <w:color w:val="000000"/>
          <w:lang w:eastAsia="pl-PL"/>
        </w:rPr>
        <w:t>uwzględnienia w struktur</w:t>
      </w:r>
      <w:r>
        <w:rPr>
          <w:rFonts w:eastAsia="Times New Roman"/>
          <w:color w:val="000000"/>
          <w:lang w:eastAsia="pl-PL"/>
        </w:rPr>
        <w:t xml:space="preserve">ach dokumentów </w:t>
      </w:r>
      <w:r w:rsidRPr="00EA2E16">
        <w:rPr>
          <w:rFonts w:eastAsia="Times New Roman"/>
          <w:color w:val="000000"/>
          <w:lang w:eastAsia="pl-PL"/>
        </w:rPr>
        <w:t>wymagań wynikających z</w:t>
      </w:r>
      <w:r>
        <w:rPr>
          <w:rFonts w:eastAsia="Times New Roman"/>
          <w:color w:val="000000"/>
          <w:lang w:eastAsia="pl-PL"/>
        </w:rPr>
        <w:t xml:space="preserve">e zmiany regulacji prawnych tworzących system rewitalizacji w Polsce oraz w województwie opolskim, </w:t>
      </w:r>
      <w:r w:rsidRPr="00EA2E16">
        <w:rPr>
          <w:rFonts w:eastAsia="Times New Roman"/>
          <w:color w:val="000000"/>
          <w:lang w:eastAsia="pl-PL"/>
        </w:rPr>
        <w:t xml:space="preserve">jeżeli takowe zostaną sformułowane </w:t>
      </w:r>
      <w:r>
        <w:rPr>
          <w:rFonts w:eastAsia="Times New Roman"/>
          <w:color w:val="000000"/>
          <w:lang w:eastAsia="pl-PL"/>
        </w:rPr>
        <w:t xml:space="preserve">przez właściwego ministra lub IZ FEO 2021-2027 oraz opublikowane </w:t>
      </w:r>
      <w:r w:rsidRPr="00EA2E16">
        <w:rPr>
          <w:rFonts w:eastAsia="Times New Roman"/>
          <w:color w:val="000000"/>
          <w:lang w:eastAsia="pl-PL"/>
        </w:rPr>
        <w:t>w trakcie obowiązywania umowy.</w:t>
      </w: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Default="001642DE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1642DE" w:rsidRPr="00D871B4" w:rsidRDefault="001642DE" w:rsidP="001642DE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  <w:r w:rsidRPr="00D871B4">
        <w:rPr>
          <w:rFonts w:ascii="Calibri" w:hAnsi="Calibri" w:cs="Calibri"/>
          <w:b/>
        </w:rPr>
        <w:lastRenderedPageBreak/>
        <w:t xml:space="preserve">Załącznik do OPZ dot. wymagań technicznych do </w:t>
      </w:r>
      <w:r w:rsidRPr="00E1561B">
        <w:rPr>
          <w:rFonts w:ascii="Calibri" w:hAnsi="Calibri" w:cs="Calibri"/>
          <w:b/>
        </w:rPr>
        <w:t xml:space="preserve">opracowania </w:t>
      </w:r>
      <w:r>
        <w:rPr>
          <w:rFonts w:ascii="Calibri" w:hAnsi="Calibri" w:cs="Calibri"/>
          <w:b/>
        </w:rPr>
        <w:br/>
      </w:r>
      <w:r w:rsidRPr="00E1561B">
        <w:rPr>
          <w:rFonts w:ascii="Calibri" w:hAnsi="Calibri" w:cs="Calibri"/>
          <w:b/>
        </w:rPr>
        <w:t>bazy danych przestrzennych w wersji wektorowej</w:t>
      </w:r>
    </w:p>
    <w:p w:rsidR="001642DE" w:rsidRPr="00D871B4" w:rsidRDefault="001642DE" w:rsidP="001642DE">
      <w:pPr>
        <w:autoSpaceDE w:val="0"/>
        <w:spacing w:after="0" w:line="276" w:lineRule="auto"/>
        <w:ind w:left="709"/>
        <w:contextualSpacing/>
        <w:jc w:val="both"/>
        <w:rPr>
          <w:rFonts w:ascii="Calibri" w:hAnsi="Calibri" w:cs="Calibri"/>
        </w:rPr>
      </w:pPr>
    </w:p>
    <w:p w:rsidR="001642DE" w:rsidRPr="00D871B4" w:rsidRDefault="001642DE" w:rsidP="001642DE">
      <w:pPr>
        <w:tabs>
          <w:tab w:val="left" w:pos="142"/>
        </w:tabs>
        <w:contextualSpacing/>
        <w:jc w:val="both"/>
        <w:rPr>
          <w:rFonts w:ascii="Calibri" w:hAnsi="Calibri"/>
        </w:rPr>
      </w:pPr>
      <w:r>
        <w:t>Atrybuty klas obiektów należy opisać wg wzoru:</w:t>
      </w:r>
    </w:p>
    <w:p w:rsidR="001642DE" w:rsidRPr="00D871B4" w:rsidRDefault="001642DE" w:rsidP="001642DE">
      <w:pPr>
        <w:tabs>
          <w:tab w:val="left" w:pos="142"/>
        </w:tabs>
        <w:ind w:left="709"/>
        <w:contextualSpacing/>
        <w:jc w:val="both"/>
        <w:rPr>
          <w:rFonts w:ascii="Calibri" w:hAnsi="Calibri" w:cs="Arial"/>
          <w:b/>
        </w:rPr>
      </w:pPr>
    </w:p>
    <w:p w:rsidR="001642DE" w:rsidRPr="00F7343C" w:rsidRDefault="001642DE" w:rsidP="001642DE">
      <w:pPr>
        <w:numPr>
          <w:ilvl w:val="1"/>
          <w:numId w:val="16"/>
        </w:numPr>
        <w:tabs>
          <w:tab w:val="left" w:pos="142"/>
        </w:tabs>
        <w:spacing w:after="120" w:line="240" w:lineRule="auto"/>
        <w:ind w:left="709" w:hanging="425"/>
        <w:jc w:val="both"/>
        <w:rPr>
          <w:rFonts w:ascii="Calibri" w:hAnsi="Calibri" w:cs="Arial"/>
          <w:b/>
          <w:sz w:val="20"/>
          <w:szCs w:val="20"/>
        </w:rPr>
      </w:pPr>
      <w:r w:rsidRPr="00F7343C">
        <w:rPr>
          <w:rFonts w:ascii="Calibri" w:hAnsi="Calibri"/>
          <w:sz w:val="20"/>
          <w:szCs w:val="20"/>
        </w:rPr>
        <w:t xml:space="preserve">Klasa obiektów </w:t>
      </w:r>
      <w:r w:rsidRPr="00F7343C">
        <w:rPr>
          <w:rFonts w:ascii="Calibri" w:hAnsi="Calibri"/>
          <w:b/>
          <w:bCs/>
          <w:color w:val="000000" w:themeColor="text1"/>
          <w:sz w:val="20"/>
          <w:szCs w:val="20"/>
        </w:rPr>
        <w:t>obszary rewitalizacji</w:t>
      </w:r>
      <w:r w:rsidRPr="00F7343C">
        <w:rPr>
          <w:rFonts w:ascii="Calibri" w:hAnsi="Calibri"/>
          <w:color w:val="000000" w:themeColor="text1"/>
          <w:sz w:val="20"/>
          <w:szCs w:val="20"/>
        </w:rPr>
        <w:t xml:space="preserve"> (</w:t>
      </w:r>
      <w:proofErr w:type="spellStart"/>
      <w:r w:rsidRPr="00F7343C">
        <w:rPr>
          <w:rFonts w:ascii="Calibri" w:hAnsi="Calibri"/>
          <w:color w:val="000000" w:themeColor="text1"/>
          <w:sz w:val="20"/>
          <w:szCs w:val="20"/>
        </w:rPr>
        <w:t>teryt_</w:t>
      </w:r>
      <w:r w:rsidRPr="00F7343C">
        <w:rPr>
          <w:rFonts w:ascii="Calibri" w:hAnsi="Calibri"/>
          <w:b/>
          <w:bCs/>
          <w:color w:val="000000" w:themeColor="text1"/>
          <w:sz w:val="20"/>
          <w:szCs w:val="20"/>
        </w:rPr>
        <w:t>obsz_rewit</w:t>
      </w:r>
      <w:proofErr w:type="spellEnd"/>
      <w:r w:rsidRPr="00F7343C">
        <w:rPr>
          <w:rFonts w:ascii="Calibri" w:hAnsi="Calibri"/>
          <w:color w:val="000000" w:themeColor="text1"/>
          <w:sz w:val="20"/>
          <w:szCs w:val="20"/>
        </w:rPr>
        <w:t xml:space="preserve">) </w:t>
      </w:r>
      <w:r w:rsidRPr="00F7343C">
        <w:rPr>
          <w:rFonts w:ascii="Calibri" w:hAnsi="Calibri"/>
          <w:sz w:val="20"/>
          <w:szCs w:val="20"/>
        </w:rPr>
        <w:t>obejmuje następujące atrybuty:</w:t>
      </w:r>
    </w:p>
    <w:tbl>
      <w:tblPr>
        <w:tblW w:w="5000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497"/>
        <w:gridCol w:w="857"/>
        <w:gridCol w:w="6706"/>
      </w:tblGrid>
      <w:tr w:rsidR="001642DE" w:rsidRPr="00D871B4" w:rsidTr="00933747">
        <w:trPr>
          <w:trHeight w:val="345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Nazwa kolumny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Liczność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Typ/format</w:t>
            </w:r>
          </w:p>
        </w:tc>
        <w:tc>
          <w:tcPr>
            <w:tcW w:w="3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Opis kolumny, przykładowe wartości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TERYT_GM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char(7)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gmi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ny zgodny z bazą TERYT (np. 1601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TERYT_POW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char(4)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powiatu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NAZWA_GM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Nazwa gminy, np. Olszanka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TYT_PROGR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Tytuł Programu Rewitalizacji (bez cudzysłowów) np. Program rewitalizacji gminy Prószków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NR_UCHW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program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LINK_UCHW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 do dokumentu źródłowego (BIP, www)</w:t>
            </w:r>
          </w:p>
        </w:tc>
      </w:tr>
      <w:tr w:rsidR="001642DE" w:rsidRPr="00D871B4" w:rsidTr="00933747">
        <w:trPr>
          <w:trHeight w:val="53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N_OB_REW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 obszaru rewitalizacji w Programie Rewitalizacji (bez cudzysłowów, jeśli brak nazwy proszę wpisać "brak nazwy")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POW_O_REW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Powierzchnia obszaru rewitalizacji (w ha do dwóch miejsc po przecinku np.: 1,00ha)</w:t>
            </w:r>
          </w:p>
        </w:tc>
      </w:tr>
      <w:tr w:rsidR="001642DE" w:rsidRPr="00D871B4" w:rsidTr="00933747">
        <w:trPr>
          <w:trHeight w:val="53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O_REW_PROC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Udział procentowy obszaru rewitalizacji w gminie ((POW_O_REW*100)/powierzchnia gminy z dokładnością do dwóch miejsc po przecinku , np.: 12,13%)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LUD_O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Liczba ludności objęta obszarem rewitalizacji [osoby], np. 2102</w:t>
            </w:r>
          </w:p>
        </w:tc>
      </w:tr>
      <w:tr w:rsidR="001642DE" w:rsidRPr="00D871B4" w:rsidTr="00933747">
        <w:trPr>
          <w:trHeight w:val="34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LUD_O_PROC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Udział procentowy liczby ludności w obszarze rewitalizacji w gminie (((LUD*100)/ludność gminy) np. 12,13%)</w:t>
            </w:r>
          </w:p>
        </w:tc>
      </w:tr>
    </w:tbl>
    <w:p w:rsidR="001642DE" w:rsidRPr="00D871B4" w:rsidRDefault="001642DE" w:rsidP="001642DE">
      <w:pPr>
        <w:tabs>
          <w:tab w:val="left" w:pos="142"/>
        </w:tabs>
        <w:spacing w:after="0" w:line="240" w:lineRule="auto"/>
        <w:ind w:left="709"/>
        <w:contextualSpacing/>
        <w:jc w:val="both"/>
        <w:rPr>
          <w:rFonts w:ascii="Calibri" w:hAnsi="Calibri" w:cs="Arial"/>
          <w:b/>
          <w:sz w:val="20"/>
          <w:szCs w:val="20"/>
        </w:rPr>
      </w:pPr>
    </w:p>
    <w:p w:rsidR="001642DE" w:rsidRPr="00D871B4" w:rsidRDefault="001642DE" w:rsidP="001642DE">
      <w:pPr>
        <w:numPr>
          <w:ilvl w:val="1"/>
          <w:numId w:val="16"/>
        </w:numPr>
        <w:tabs>
          <w:tab w:val="left" w:pos="142"/>
        </w:tabs>
        <w:spacing w:after="0" w:line="240" w:lineRule="auto"/>
        <w:ind w:left="709" w:hanging="425"/>
        <w:contextualSpacing/>
        <w:jc w:val="both"/>
        <w:rPr>
          <w:rFonts w:ascii="Calibri" w:hAnsi="Calibri" w:cs="Arial"/>
          <w:b/>
          <w:sz w:val="20"/>
          <w:szCs w:val="20"/>
        </w:rPr>
      </w:pPr>
      <w:r w:rsidRPr="00D871B4">
        <w:rPr>
          <w:rFonts w:ascii="Calibri" w:hAnsi="Calibri"/>
          <w:sz w:val="20"/>
          <w:szCs w:val="20"/>
        </w:rPr>
        <w:t xml:space="preserve">Klasa obiektów </w:t>
      </w:r>
      <w:r w:rsidRPr="00D871B4">
        <w:rPr>
          <w:rFonts w:ascii="Calibri" w:hAnsi="Calibri"/>
          <w:b/>
          <w:bCs/>
          <w:sz w:val="20"/>
          <w:szCs w:val="20"/>
        </w:rPr>
        <w:t>podobszary rewitalizacji</w:t>
      </w:r>
      <w:r w:rsidRPr="00D871B4">
        <w:rPr>
          <w:rFonts w:ascii="Calibri" w:hAnsi="Calibri"/>
          <w:sz w:val="20"/>
          <w:szCs w:val="20"/>
        </w:rPr>
        <w:t xml:space="preserve"> (</w:t>
      </w:r>
      <w:proofErr w:type="spellStart"/>
      <w:r w:rsidRPr="00D871B4">
        <w:rPr>
          <w:rFonts w:ascii="Calibri" w:hAnsi="Calibri"/>
          <w:sz w:val="20"/>
          <w:szCs w:val="20"/>
        </w:rPr>
        <w:t>teryt_</w:t>
      </w:r>
      <w:r w:rsidRPr="00D871B4">
        <w:rPr>
          <w:rFonts w:ascii="Calibri" w:hAnsi="Calibri"/>
          <w:b/>
          <w:bCs/>
          <w:sz w:val="20"/>
          <w:szCs w:val="20"/>
        </w:rPr>
        <w:t>podobsz_rewit</w:t>
      </w:r>
      <w:proofErr w:type="spellEnd"/>
      <w:r w:rsidRPr="00D871B4">
        <w:rPr>
          <w:rFonts w:ascii="Calibri" w:hAnsi="Calibri"/>
          <w:sz w:val="20"/>
          <w:szCs w:val="20"/>
        </w:rPr>
        <w:t>) obejmuje następujące atrybuty:</w:t>
      </w:r>
    </w:p>
    <w:tbl>
      <w:tblPr>
        <w:tblW w:w="500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4"/>
        <w:gridCol w:w="692"/>
        <w:gridCol w:w="932"/>
        <w:gridCol w:w="6451"/>
      </w:tblGrid>
      <w:tr w:rsidR="001642DE" w:rsidRPr="00D871B4" w:rsidTr="00933747">
        <w:trPr>
          <w:trHeight w:val="300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Nazwa kolumny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Liczność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Typ/format</w:t>
            </w:r>
          </w:p>
        </w:tc>
        <w:tc>
          <w:tcPr>
            <w:tcW w:w="3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Opis kolumny, przykładowe wartości</w:t>
            </w:r>
          </w:p>
        </w:tc>
      </w:tr>
      <w:tr w:rsidR="001642DE" w:rsidRPr="00D871B4" w:rsidTr="00933747">
        <w:trPr>
          <w:trHeight w:val="45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ID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char(9)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Numer porządkowy podobszaru rewitalizacji w formacie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teryt_n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gdzie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nr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gminy, n- kolejna liczba całkowita zaczynając od 1, np.: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1062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_1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TERYT_GM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char(7)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gminy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1062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TERYT_POW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char(4)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powiatu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NAZWA_GM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Nazwa gminy np.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Olszanka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TYT_PROGR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Tytuł Programu Rewitalizacji (bez cudzysłowów) np. Program rewitalizacji gminy Prószków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NR_UCHW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program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LINK_UCHW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 do uchwały przyjmującej program rewitalizacji (BIP, www)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N_PO_PRO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 podobszaru rewitalizacji w Programie Rewitalizacji (bez cudzysłowów) np. Dzielnica Centrum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POW_PO_REW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Powierzchnia podobszaru rewitalizacji (w ha do dwóch miejsc po przecinku np..: 1,00ha)</w:t>
            </w:r>
          </w:p>
        </w:tc>
      </w:tr>
      <w:tr w:rsidR="001642DE" w:rsidRPr="00D871B4" w:rsidTr="00933747">
        <w:trPr>
          <w:trHeight w:val="465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PO_REW_PRO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Udział procentowy podobszaru rewitalizacji w gminie ((POW_PO_REW*100)/powierzchnia gminy z dokładnością do dwóch miejsc po przecinku , np.: 12,13%)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LUD_PO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Liczba ludności objęta podobszarem rewitalizacji [osoby]</w:t>
            </w:r>
          </w:p>
        </w:tc>
      </w:tr>
      <w:tr w:rsidR="001642DE" w:rsidRPr="00D871B4" w:rsidTr="00933747">
        <w:trPr>
          <w:trHeight w:val="300"/>
        </w:trPr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LUD_PO_PRO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Udział procentowy liczby ludności w obszarze rewitalizacji w gminie ((LUD*100)/ludność gminy]</w:t>
            </w:r>
          </w:p>
        </w:tc>
      </w:tr>
    </w:tbl>
    <w:p w:rsidR="001642DE" w:rsidRPr="00D871B4" w:rsidRDefault="001642DE" w:rsidP="001642DE">
      <w:pPr>
        <w:tabs>
          <w:tab w:val="left" w:pos="142"/>
        </w:tabs>
        <w:ind w:left="709"/>
        <w:contextualSpacing/>
        <w:jc w:val="both"/>
        <w:rPr>
          <w:rFonts w:ascii="Calibri" w:hAnsi="Calibri" w:cs="Arial"/>
          <w:b/>
        </w:rPr>
      </w:pPr>
    </w:p>
    <w:p w:rsidR="001642DE" w:rsidRPr="00D871B4" w:rsidRDefault="001642DE" w:rsidP="001642DE">
      <w:pPr>
        <w:numPr>
          <w:ilvl w:val="1"/>
          <w:numId w:val="16"/>
        </w:numPr>
        <w:tabs>
          <w:tab w:val="left" w:pos="142"/>
        </w:tabs>
        <w:spacing w:after="0" w:line="240" w:lineRule="auto"/>
        <w:ind w:left="709" w:hanging="425"/>
        <w:contextualSpacing/>
        <w:jc w:val="both"/>
        <w:rPr>
          <w:rFonts w:ascii="Calibri" w:hAnsi="Calibri" w:cs="Arial"/>
          <w:b/>
          <w:sz w:val="20"/>
          <w:szCs w:val="20"/>
        </w:rPr>
      </w:pPr>
      <w:r w:rsidRPr="00D871B4">
        <w:rPr>
          <w:rFonts w:ascii="Calibri" w:hAnsi="Calibri"/>
          <w:sz w:val="20"/>
          <w:szCs w:val="20"/>
        </w:rPr>
        <w:t xml:space="preserve">Klasa obiektów </w:t>
      </w:r>
      <w:r w:rsidRPr="00D871B4">
        <w:rPr>
          <w:rFonts w:ascii="Calibri" w:hAnsi="Calibri"/>
          <w:b/>
          <w:bCs/>
          <w:sz w:val="20"/>
          <w:szCs w:val="20"/>
        </w:rPr>
        <w:t>obszary zdegradowane</w:t>
      </w:r>
      <w:r w:rsidRPr="00D871B4">
        <w:rPr>
          <w:rFonts w:ascii="Calibri" w:hAnsi="Calibri"/>
          <w:sz w:val="20"/>
          <w:szCs w:val="20"/>
        </w:rPr>
        <w:t xml:space="preserve"> (</w:t>
      </w:r>
      <w:proofErr w:type="spellStart"/>
      <w:r w:rsidRPr="00D871B4">
        <w:rPr>
          <w:rFonts w:ascii="Calibri" w:hAnsi="Calibri"/>
          <w:sz w:val="20"/>
          <w:szCs w:val="20"/>
        </w:rPr>
        <w:t>teryt_</w:t>
      </w:r>
      <w:r w:rsidRPr="00D871B4">
        <w:rPr>
          <w:rFonts w:ascii="Calibri" w:hAnsi="Calibri"/>
          <w:b/>
          <w:bCs/>
          <w:sz w:val="20"/>
          <w:szCs w:val="20"/>
        </w:rPr>
        <w:t>obsz_zdegradowane</w:t>
      </w:r>
      <w:proofErr w:type="spellEnd"/>
      <w:r w:rsidRPr="00D871B4">
        <w:rPr>
          <w:rFonts w:ascii="Calibri" w:hAnsi="Calibri"/>
          <w:sz w:val="20"/>
          <w:szCs w:val="20"/>
        </w:rPr>
        <w:t>) obejmuje następujące atrybuty:</w:t>
      </w:r>
    </w:p>
    <w:tbl>
      <w:tblPr>
        <w:tblW w:w="500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8"/>
        <w:gridCol w:w="953"/>
        <w:gridCol w:w="931"/>
        <w:gridCol w:w="6107"/>
      </w:tblGrid>
      <w:tr w:rsidR="001642DE" w:rsidRPr="00D871B4" w:rsidTr="00933747">
        <w:trPr>
          <w:trHeight w:val="300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Nazwa kolumny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Liczność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Typ/format</w:t>
            </w:r>
          </w:p>
        </w:tc>
        <w:tc>
          <w:tcPr>
            <w:tcW w:w="3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Opis kolumny, przykładowe wartości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TERYT_GM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char(7)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gminy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TERYT_POW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char(4)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powiatu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NAZWA_GM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 gminy np.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Olszanka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TYT_PROGR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Tytuł Programu Rewitalizacji (bez cudzysłowów) np. Program rewitalizacji gminy Prószków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NR_UCHW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program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LINK_UCHW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 do uchwały przyjmującej program rewitalizacji (BIP, www)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NAZWA_OZ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 obszaru zdegradowanego (bez cudzysłowów), np. Obszar zdegradowany nr 1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POW_OZ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Powierzchnia obszaru zdegradowanego (w ha do dwóch miejsc po przecinku np.: 1,00ha)</w:t>
            </w:r>
          </w:p>
        </w:tc>
      </w:tr>
      <w:tr w:rsidR="001642DE" w:rsidRPr="00D871B4" w:rsidTr="00933747">
        <w:trPr>
          <w:trHeight w:val="300"/>
        </w:trPr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LUD_OZ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Liczba ludności objęta obszarem zdegradowanym [osoby]</w:t>
            </w:r>
          </w:p>
        </w:tc>
      </w:tr>
    </w:tbl>
    <w:p w:rsidR="001642DE" w:rsidRDefault="001642DE" w:rsidP="001642DE">
      <w:pPr>
        <w:tabs>
          <w:tab w:val="left" w:pos="142"/>
        </w:tabs>
        <w:ind w:left="709"/>
        <w:contextualSpacing/>
        <w:jc w:val="both"/>
        <w:rPr>
          <w:rFonts w:ascii="Calibri" w:hAnsi="Calibri" w:cs="Arial"/>
          <w:b/>
        </w:rPr>
      </w:pPr>
    </w:p>
    <w:p w:rsidR="001642DE" w:rsidRPr="00E1561B" w:rsidRDefault="001642DE" w:rsidP="001642DE">
      <w:pPr>
        <w:numPr>
          <w:ilvl w:val="1"/>
          <w:numId w:val="16"/>
        </w:numPr>
        <w:tabs>
          <w:tab w:val="left" w:pos="142"/>
        </w:tabs>
        <w:spacing w:after="0" w:line="240" w:lineRule="auto"/>
        <w:contextualSpacing/>
        <w:jc w:val="both"/>
        <w:rPr>
          <w:rFonts w:ascii="Calibri" w:hAnsi="Calibri" w:cs="Arial"/>
          <w:b/>
          <w:sz w:val="20"/>
          <w:szCs w:val="20"/>
        </w:rPr>
      </w:pPr>
      <w:r w:rsidRPr="00E1561B">
        <w:rPr>
          <w:rFonts w:ascii="Calibri" w:hAnsi="Calibri"/>
          <w:sz w:val="20"/>
          <w:szCs w:val="20"/>
        </w:rPr>
        <w:t>Klasa obiektów obszary zdegradowane (</w:t>
      </w:r>
      <w:proofErr w:type="spellStart"/>
      <w:r w:rsidRPr="00E1561B">
        <w:rPr>
          <w:rFonts w:ascii="Calibri" w:hAnsi="Calibri"/>
          <w:sz w:val="20"/>
          <w:szCs w:val="20"/>
        </w:rPr>
        <w:t>teryt_</w:t>
      </w:r>
      <w:r w:rsidRPr="00E1561B">
        <w:rPr>
          <w:rFonts w:ascii="Calibri" w:hAnsi="Calibri"/>
          <w:b/>
          <w:bCs/>
          <w:sz w:val="20"/>
          <w:szCs w:val="20"/>
        </w:rPr>
        <w:t>podobsz_zdegr</w:t>
      </w:r>
      <w:proofErr w:type="spellEnd"/>
      <w:r w:rsidRPr="00E1561B">
        <w:rPr>
          <w:rFonts w:ascii="Calibri" w:hAnsi="Calibri"/>
          <w:sz w:val="20"/>
          <w:szCs w:val="20"/>
        </w:rPr>
        <w:t>) obejmuje następujące atrybuty:</w:t>
      </w:r>
    </w:p>
    <w:tbl>
      <w:tblPr>
        <w:tblW w:w="502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2"/>
        <w:gridCol w:w="941"/>
        <w:gridCol w:w="919"/>
        <w:gridCol w:w="6192"/>
      </w:tblGrid>
      <w:tr w:rsidR="001642DE" w:rsidRPr="00E1561B" w:rsidTr="00933747">
        <w:trPr>
          <w:trHeight w:val="254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Nazwa kolumny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Liczność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Typ/format</w:t>
            </w:r>
          </w:p>
        </w:tc>
        <w:tc>
          <w:tcPr>
            <w:tcW w:w="3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Opis kolumny, przykładowe wartości</w:t>
            </w:r>
          </w:p>
        </w:tc>
      </w:tr>
      <w:tr w:rsidR="001642DE" w:rsidRPr="00E1561B" w:rsidTr="00933747">
        <w:trPr>
          <w:trHeight w:val="254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TERYT_GM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char(7)</w:t>
            </w:r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Numer gminy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1062</w:t>
            </w: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E1561B" w:rsidTr="00933747">
        <w:trPr>
          <w:trHeight w:val="254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TERYT_POW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char(4)</w:t>
            </w:r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Numer powiatu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E1561B" w:rsidTr="00933747">
        <w:trPr>
          <w:trHeight w:val="254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NAZWA_GM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Nazwa gminy np.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Olszanka</w:t>
            </w:r>
          </w:p>
        </w:tc>
      </w:tr>
      <w:tr w:rsidR="001642DE" w:rsidRPr="00E1561B" w:rsidTr="00933747">
        <w:trPr>
          <w:trHeight w:val="254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TYT_PROGR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Tytuł Programu Rewitalizacji (bez cudzysłowów) np. Program rewitalizacji gminy Prószków</w:t>
            </w:r>
          </w:p>
        </w:tc>
      </w:tr>
      <w:tr w:rsidR="001642DE" w:rsidRPr="00E1561B" w:rsidTr="00933747">
        <w:trPr>
          <w:trHeight w:val="254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NR_UCHW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program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E1561B" w:rsidTr="00933747">
        <w:trPr>
          <w:trHeight w:val="254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LINK_UCHW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Link do uchwały przyjmującej program rewitalizacji (BIP, www)</w:t>
            </w:r>
          </w:p>
        </w:tc>
      </w:tr>
      <w:tr w:rsidR="001642DE" w:rsidRPr="00E1561B" w:rsidTr="00933747">
        <w:trPr>
          <w:trHeight w:val="254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NAZWA_POZ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Nazwa podobszaru zdegradowanego (bez cudzysłowów), np. Podobszar zdegradowany nr 1</w:t>
            </w:r>
          </w:p>
        </w:tc>
      </w:tr>
      <w:tr w:rsidR="001642DE" w:rsidRPr="00E1561B" w:rsidTr="00933747">
        <w:trPr>
          <w:trHeight w:val="291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POW_POZ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Powierzchnia podobszaru zdegradowanego (w ha do dwóch miejsc po przecinku np.: 1,00ha)</w:t>
            </w:r>
          </w:p>
        </w:tc>
      </w:tr>
      <w:tr w:rsidR="001642DE" w:rsidRPr="00E1561B" w:rsidTr="00933747">
        <w:trPr>
          <w:trHeight w:val="301"/>
        </w:trPr>
        <w:tc>
          <w:tcPr>
            <w:tcW w:w="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LUD_POZ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E1561B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561B">
              <w:rPr>
                <w:rFonts w:ascii="Calibri" w:hAnsi="Calibri" w:cs="Calibri"/>
                <w:color w:val="000000"/>
                <w:sz w:val="16"/>
                <w:szCs w:val="16"/>
              </w:rPr>
              <w:t>Liczba ludności objęta podobszarem zdegradowanym [osoby]</w:t>
            </w:r>
          </w:p>
        </w:tc>
      </w:tr>
    </w:tbl>
    <w:p w:rsidR="001642DE" w:rsidRPr="00E1561B" w:rsidRDefault="001642DE" w:rsidP="001642DE">
      <w:pPr>
        <w:tabs>
          <w:tab w:val="left" w:pos="142"/>
        </w:tabs>
        <w:ind w:left="709"/>
        <w:contextualSpacing/>
        <w:jc w:val="both"/>
        <w:rPr>
          <w:rFonts w:ascii="Calibri" w:hAnsi="Calibri"/>
          <w:sz w:val="20"/>
          <w:szCs w:val="20"/>
        </w:rPr>
      </w:pPr>
    </w:p>
    <w:p w:rsidR="001642DE" w:rsidRPr="00D871B4" w:rsidRDefault="001642DE" w:rsidP="001642DE">
      <w:pPr>
        <w:numPr>
          <w:ilvl w:val="1"/>
          <w:numId w:val="16"/>
        </w:numPr>
        <w:tabs>
          <w:tab w:val="left" w:pos="142"/>
        </w:tabs>
        <w:spacing w:after="0" w:line="240" w:lineRule="auto"/>
        <w:ind w:left="709" w:hanging="425"/>
        <w:contextualSpacing/>
        <w:jc w:val="both"/>
        <w:rPr>
          <w:rFonts w:ascii="Calibri" w:hAnsi="Calibri" w:cs="Arial"/>
          <w:b/>
          <w:sz w:val="20"/>
          <w:szCs w:val="20"/>
        </w:rPr>
      </w:pPr>
      <w:r w:rsidRPr="00D871B4">
        <w:rPr>
          <w:rFonts w:ascii="Calibri" w:hAnsi="Calibri"/>
          <w:sz w:val="20"/>
          <w:szCs w:val="20"/>
        </w:rPr>
        <w:t xml:space="preserve">Klasa obiektów </w:t>
      </w:r>
      <w:r w:rsidRPr="00D871B4">
        <w:rPr>
          <w:rFonts w:ascii="Calibri" w:hAnsi="Calibri"/>
          <w:b/>
          <w:bCs/>
          <w:sz w:val="20"/>
          <w:szCs w:val="20"/>
        </w:rPr>
        <w:t>miejscowy plan rewitalizacji</w:t>
      </w:r>
      <w:r w:rsidRPr="00D871B4">
        <w:rPr>
          <w:rFonts w:ascii="Calibri" w:hAnsi="Calibri"/>
          <w:sz w:val="20"/>
          <w:szCs w:val="20"/>
        </w:rPr>
        <w:t xml:space="preserve"> (</w:t>
      </w:r>
      <w:proofErr w:type="spellStart"/>
      <w:r w:rsidRPr="00D871B4">
        <w:rPr>
          <w:rFonts w:ascii="Calibri" w:hAnsi="Calibri"/>
          <w:sz w:val="20"/>
          <w:szCs w:val="20"/>
        </w:rPr>
        <w:t>teryt_</w:t>
      </w:r>
      <w:r w:rsidRPr="00D871B4">
        <w:rPr>
          <w:rFonts w:ascii="Calibri" w:hAnsi="Calibri"/>
          <w:b/>
          <w:bCs/>
          <w:sz w:val="20"/>
          <w:szCs w:val="20"/>
        </w:rPr>
        <w:t>plan_rewit</w:t>
      </w:r>
      <w:proofErr w:type="spellEnd"/>
      <w:r w:rsidRPr="00D871B4">
        <w:rPr>
          <w:rFonts w:ascii="Calibri" w:hAnsi="Calibri"/>
          <w:sz w:val="20"/>
          <w:szCs w:val="20"/>
        </w:rPr>
        <w:t>) obejmuje następujące atrybuty:</w:t>
      </w:r>
    </w:p>
    <w:tbl>
      <w:tblPr>
        <w:tblW w:w="497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7"/>
        <w:gridCol w:w="751"/>
        <w:gridCol w:w="931"/>
        <w:gridCol w:w="6455"/>
      </w:tblGrid>
      <w:tr w:rsidR="001642DE" w:rsidRPr="00D871B4" w:rsidTr="00933747">
        <w:trPr>
          <w:trHeight w:val="300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Nazwa kolumny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Liczność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Typ/format</w:t>
            </w:r>
          </w:p>
        </w:tc>
        <w:tc>
          <w:tcPr>
            <w:tcW w:w="3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Opis kolumny, przykładowe wartości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TERYT_GM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char(7)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gminy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1062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TERYT_POW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char(4)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powiatu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NAZWA_GM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Nazwa gminy np.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Olszanka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TYT_PROGR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Tytuł Programu Rewitalizacji (bez cudzysłowów) np. Program rewitalizacji gminy Prószków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NR_UCHW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program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LINK_UCHW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 do uchwały przyjmującej program rewitalizacji (BIP, www)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NR_MPR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miejscowy plan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LINK_MPR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 do uchwały przyjmującej miejscowy plan rewitalizacji (BIP, www)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POW_MPR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Powierzchnia miejscowego planu rewitalizacji (w ha do dwóch miejsc po przecinku np..: 1,00ha)</w:t>
            </w:r>
          </w:p>
        </w:tc>
      </w:tr>
      <w:tr w:rsidR="001642DE" w:rsidRPr="00D871B4" w:rsidTr="00933747">
        <w:trPr>
          <w:trHeight w:val="300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LUD_MPR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Liczba ludności objęta miejscowym planem rewitalizacji [osoby]</w:t>
            </w:r>
          </w:p>
        </w:tc>
      </w:tr>
    </w:tbl>
    <w:p w:rsidR="001642DE" w:rsidRPr="00D871B4" w:rsidRDefault="001642DE" w:rsidP="001642DE">
      <w:pPr>
        <w:tabs>
          <w:tab w:val="left" w:pos="142"/>
        </w:tabs>
        <w:ind w:left="709"/>
        <w:contextualSpacing/>
        <w:jc w:val="both"/>
        <w:rPr>
          <w:rFonts w:ascii="Calibri" w:hAnsi="Calibri"/>
        </w:rPr>
      </w:pPr>
    </w:p>
    <w:p w:rsidR="001642DE" w:rsidRPr="00D871B4" w:rsidRDefault="001642DE" w:rsidP="001642DE">
      <w:pPr>
        <w:numPr>
          <w:ilvl w:val="1"/>
          <w:numId w:val="16"/>
        </w:numPr>
        <w:tabs>
          <w:tab w:val="left" w:pos="142"/>
        </w:tabs>
        <w:spacing w:after="0" w:line="240" w:lineRule="auto"/>
        <w:ind w:left="709" w:hanging="425"/>
        <w:contextualSpacing/>
        <w:jc w:val="both"/>
        <w:rPr>
          <w:rFonts w:ascii="Calibri" w:hAnsi="Calibri" w:cs="Arial"/>
          <w:sz w:val="20"/>
          <w:szCs w:val="20"/>
        </w:rPr>
      </w:pPr>
      <w:r w:rsidRPr="00D871B4">
        <w:rPr>
          <w:rFonts w:ascii="Calibri" w:hAnsi="Calibri"/>
          <w:sz w:val="20"/>
          <w:szCs w:val="20"/>
        </w:rPr>
        <w:t xml:space="preserve">Klasa obiektów </w:t>
      </w:r>
      <w:r w:rsidRPr="00D871B4">
        <w:rPr>
          <w:rFonts w:ascii="Calibri" w:hAnsi="Calibri"/>
          <w:b/>
          <w:bCs/>
          <w:sz w:val="20"/>
          <w:szCs w:val="20"/>
        </w:rPr>
        <w:t>specjalna strefa rewitalizacji</w:t>
      </w:r>
      <w:r w:rsidRPr="00D871B4">
        <w:rPr>
          <w:rFonts w:ascii="Calibri" w:hAnsi="Calibri"/>
          <w:sz w:val="20"/>
          <w:szCs w:val="20"/>
        </w:rPr>
        <w:t xml:space="preserve"> (</w:t>
      </w:r>
      <w:proofErr w:type="spellStart"/>
      <w:r w:rsidRPr="00D871B4">
        <w:rPr>
          <w:rFonts w:ascii="Calibri" w:hAnsi="Calibri"/>
          <w:sz w:val="20"/>
          <w:szCs w:val="20"/>
        </w:rPr>
        <w:t>teryt_</w:t>
      </w:r>
      <w:r w:rsidRPr="00D871B4">
        <w:rPr>
          <w:rFonts w:ascii="Calibri" w:hAnsi="Calibri"/>
          <w:b/>
          <w:bCs/>
          <w:sz w:val="20"/>
          <w:szCs w:val="20"/>
        </w:rPr>
        <w:t>strefa_rewit</w:t>
      </w:r>
      <w:proofErr w:type="spellEnd"/>
      <w:r w:rsidRPr="00D871B4">
        <w:rPr>
          <w:rFonts w:ascii="Calibri" w:hAnsi="Calibri"/>
          <w:sz w:val="20"/>
          <w:szCs w:val="20"/>
        </w:rPr>
        <w:t>) obejmuje następujące atrybuty: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4"/>
        <w:gridCol w:w="720"/>
        <w:gridCol w:w="1010"/>
        <w:gridCol w:w="6478"/>
      </w:tblGrid>
      <w:tr w:rsidR="001642DE" w:rsidRPr="00D871B4" w:rsidTr="00933747">
        <w:trPr>
          <w:trHeight w:val="30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Nazwa kolumny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Liczność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Typ/format</w:t>
            </w:r>
          </w:p>
        </w:tc>
        <w:tc>
          <w:tcPr>
            <w:tcW w:w="3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Opis kolumny, przykładowe wartości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TERYT_GM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char(7)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gminy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TERYT_POW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char(4)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Numer powiatu zgodny z bazą TERYT (np. 160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NAZWA_GM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Nazwa gminy np.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Olszanka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NR_UCHW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program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LINK_UCHW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 do uchwały przyjmującej program rewitalizacji (BIP, www)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TYT_PROGR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Tytuł Programu Rewitalizacji (bez cudzysłowów) np. Program rewitalizacji gminy Prószków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NR_SSR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Nr uchwały przyjmującej specjalną strefę rewitalizacji, np. XVIII/160/202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LINK_SSR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text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(255)</w:t>
            </w:r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Link do uchwały przyjmującej specjalną strefę rewitalizacji (BIP, www)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POW_SSR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Powierzchnia specjalnej strefy rewitalizacji (w ha do dwóch miejsc po przecinku np..: 1,00ha)</w:t>
            </w:r>
          </w:p>
        </w:tc>
      </w:tr>
      <w:tr w:rsidR="001642DE" w:rsidRPr="00D871B4" w:rsidTr="00933747">
        <w:trPr>
          <w:trHeight w:val="300"/>
        </w:trPr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LUD_SSR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long</w:t>
            </w:r>
            <w:proofErr w:type="spellEnd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integer</w:t>
            </w:r>
            <w:proofErr w:type="spellEnd"/>
          </w:p>
        </w:tc>
        <w:tc>
          <w:tcPr>
            <w:tcW w:w="3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2DE" w:rsidRPr="00D871B4" w:rsidRDefault="001642DE" w:rsidP="0093374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871B4">
              <w:rPr>
                <w:rFonts w:ascii="Calibri" w:hAnsi="Calibri" w:cs="Calibri"/>
                <w:color w:val="000000"/>
                <w:sz w:val="16"/>
                <w:szCs w:val="16"/>
              </w:rPr>
              <w:t>Liczba ludności objęta specjalną strefą rewitalizacji [osoby]</w:t>
            </w:r>
          </w:p>
        </w:tc>
      </w:tr>
    </w:tbl>
    <w:p w:rsidR="00497923" w:rsidRDefault="00497923" w:rsidP="001642DE">
      <w:pPr>
        <w:autoSpaceDE w:val="0"/>
        <w:spacing w:after="0" w:line="276" w:lineRule="auto"/>
        <w:contextualSpacing/>
        <w:rPr>
          <w:rFonts w:ascii="Calibri" w:hAnsi="Calibri" w:cs="Calibri"/>
          <w:b/>
        </w:rPr>
      </w:pPr>
      <w:bookmarkStart w:id="0" w:name="_GoBack"/>
      <w:bookmarkEnd w:id="0"/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contextualSpacing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497923" w:rsidRDefault="00497923" w:rsidP="00497923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:rsidR="00A36959" w:rsidRDefault="00A36959"/>
    <w:sectPr w:rsidR="00A3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B1" w:rsidRDefault="003769B1" w:rsidP="00497923">
      <w:pPr>
        <w:spacing w:after="0" w:line="240" w:lineRule="auto"/>
      </w:pPr>
      <w:r>
        <w:separator/>
      </w:r>
    </w:p>
  </w:endnote>
  <w:endnote w:type="continuationSeparator" w:id="0">
    <w:p w:rsidR="003769B1" w:rsidRDefault="003769B1" w:rsidP="0049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B1" w:rsidRDefault="003769B1" w:rsidP="00497923">
      <w:pPr>
        <w:spacing w:after="0" w:line="240" w:lineRule="auto"/>
      </w:pPr>
      <w:r>
        <w:separator/>
      </w:r>
    </w:p>
  </w:footnote>
  <w:footnote w:type="continuationSeparator" w:id="0">
    <w:p w:rsidR="003769B1" w:rsidRDefault="003769B1" w:rsidP="00497923">
      <w:pPr>
        <w:spacing w:after="0" w:line="240" w:lineRule="auto"/>
      </w:pPr>
      <w:r>
        <w:continuationSeparator/>
      </w:r>
    </w:p>
  </w:footnote>
  <w:footnote w:id="1">
    <w:p w:rsidR="00497923" w:rsidRPr="000929D4" w:rsidRDefault="00497923" w:rsidP="00497923">
      <w:pPr>
        <w:pStyle w:val="Tekstprzypisudolnego"/>
        <w:jc w:val="both"/>
        <w:rPr>
          <w:rFonts w:cstheme="minorHAnsi"/>
          <w:bCs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A5576B">
        <w:rPr>
          <w:rFonts w:cstheme="minorHAnsi"/>
          <w:sz w:val="18"/>
          <w:szCs w:val="18"/>
        </w:rPr>
        <w:t xml:space="preserve">Rozporządzenie Parlamentu Europejskiego i Rady (UE) nr 2021/1060 z dnia 24 czerwca 2021 r. </w:t>
      </w:r>
      <w:r w:rsidRPr="00A5576B">
        <w:rPr>
          <w:rFonts w:cstheme="minorHAnsi"/>
          <w:bCs/>
          <w:sz w:val="18"/>
          <w:szCs w:val="18"/>
        </w:rPr>
        <w:t xml:space="preserve">ustanawiające wspólne przepisy dotyczące Europejskiego Funduszu Rozwoju Regionalnego, Europejskiego Funduszu Społecznego Plus, Funduszu Spójności, Funduszu na rzecz Sprawiedliwej Transformacji i Europejskiego Funduszu Morskiego, Rybackiego i Akwakultury, a także przepisy finansowe na potrzeby tych funduszy oraz na potrzeby Funduszu Azylu, Migracji i Integracji, Funduszu </w:t>
      </w:r>
      <w:r w:rsidRPr="00263444">
        <w:rPr>
          <w:rFonts w:cstheme="minorHAnsi"/>
          <w:bCs/>
          <w:sz w:val="18"/>
          <w:szCs w:val="18"/>
        </w:rPr>
        <w:t>Bezpieczeństwa Wewnętrznego i Instrumentu Wsparcia Finansowego na rzecz Zarządzania Granicami i Polityki Wizowej (Dz. U. L 231/174 z dn. 30.6.2021).</w:t>
      </w:r>
    </w:p>
  </w:footnote>
  <w:footnote w:id="2">
    <w:p w:rsidR="00497923" w:rsidRDefault="00497923" w:rsidP="0049792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63444">
        <w:rPr>
          <w:rFonts w:eastAsia="Times New Roman" w:cstheme="minorHAnsi"/>
          <w:bCs/>
          <w:kern w:val="36"/>
          <w:sz w:val="18"/>
          <w:szCs w:val="18"/>
          <w:lang w:eastAsia="pl-PL"/>
        </w:rPr>
        <w:t>Dz.U. 2022 poz. 1079</w:t>
      </w:r>
      <w:r>
        <w:rPr>
          <w:rFonts w:eastAsia="Times New Roman" w:cstheme="minorHAnsi"/>
          <w:bCs/>
          <w:kern w:val="36"/>
          <w:sz w:val="18"/>
          <w:szCs w:val="18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2BC1"/>
    <w:multiLevelType w:val="multilevel"/>
    <w:tmpl w:val="B1348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B4A4788"/>
    <w:multiLevelType w:val="hybridMultilevel"/>
    <w:tmpl w:val="D380836E"/>
    <w:lvl w:ilvl="0" w:tplc="B24EFD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182CF3"/>
    <w:multiLevelType w:val="hybridMultilevel"/>
    <w:tmpl w:val="64101760"/>
    <w:lvl w:ilvl="0" w:tplc="B24EF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C179B"/>
    <w:multiLevelType w:val="hybridMultilevel"/>
    <w:tmpl w:val="49D6E46E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2A9140E5"/>
    <w:multiLevelType w:val="hybridMultilevel"/>
    <w:tmpl w:val="EAFEC0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C56FFC"/>
    <w:multiLevelType w:val="hybridMultilevel"/>
    <w:tmpl w:val="61603508"/>
    <w:lvl w:ilvl="0" w:tplc="04150019">
      <w:start w:val="1"/>
      <w:numFmt w:val="lowerLetter"/>
      <w:lvlText w:val="%1."/>
      <w:lvlJc w:val="left"/>
      <w:pPr>
        <w:ind w:left="709" w:hanging="360"/>
      </w:p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6">
    <w:nsid w:val="4C2F69E4"/>
    <w:multiLevelType w:val="hybridMultilevel"/>
    <w:tmpl w:val="61C65EC4"/>
    <w:lvl w:ilvl="0" w:tplc="0FBE5AB8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3732F1B"/>
    <w:multiLevelType w:val="hybridMultilevel"/>
    <w:tmpl w:val="99001358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2760419"/>
    <w:multiLevelType w:val="hybridMultilevel"/>
    <w:tmpl w:val="E98892D4"/>
    <w:lvl w:ilvl="0" w:tplc="0FBE5AB8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F3C228C"/>
    <w:multiLevelType w:val="hybridMultilevel"/>
    <w:tmpl w:val="235E282A"/>
    <w:lvl w:ilvl="0" w:tplc="B24EFD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2D775E1"/>
    <w:multiLevelType w:val="hybridMultilevel"/>
    <w:tmpl w:val="7ECE24DC"/>
    <w:lvl w:ilvl="0" w:tplc="0415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51C0459"/>
    <w:multiLevelType w:val="hybridMultilevel"/>
    <w:tmpl w:val="E4449BB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B24EF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D86FA0"/>
    <w:multiLevelType w:val="hybridMultilevel"/>
    <w:tmpl w:val="4192E67C"/>
    <w:lvl w:ilvl="0" w:tplc="B24EFD2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77DF0393"/>
    <w:multiLevelType w:val="hybridMultilevel"/>
    <w:tmpl w:val="C0E009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BA23FBC"/>
    <w:multiLevelType w:val="multilevel"/>
    <w:tmpl w:val="E2BCF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CE52322"/>
    <w:multiLevelType w:val="hybridMultilevel"/>
    <w:tmpl w:val="3634B8F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0"/>
  </w:num>
  <w:num w:numId="8">
    <w:abstractNumId w:val="15"/>
  </w:num>
  <w:num w:numId="9">
    <w:abstractNumId w:val="1"/>
  </w:num>
  <w:num w:numId="10">
    <w:abstractNumId w:val="9"/>
  </w:num>
  <w:num w:numId="11">
    <w:abstractNumId w:val="8"/>
  </w:num>
  <w:num w:numId="12">
    <w:abstractNumId w:val="6"/>
  </w:num>
  <w:num w:numId="13">
    <w:abstractNumId w:val="12"/>
  </w:num>
  <w:num w:numId="14">
    <w:abstractNumId w:val="14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23"/>
    <w:rsid w:val="001642DE"/>
    <w:rsid w:val="003545C9"/>
    <w:rsid w:val="003769B1"/>
    <w:rsid w:val="00497923"/>
    <w:rsid w:val="006C25A3"/>
    <w:rsid w:val="00A3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92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,Normal,Akapit z listą31,Akapit z listą32,maz_wyliczenie,opis dzialania,K-P_odwolanie,A_wyliczenie,Akapit z listą5,Normalny2,Akapit z listą3,normalny tekst,Obiekt,List Paragraph1,Asia 2  Akapit z listą,tekst normalny"/>
    <w:basedOn w:val="Normalny"/>
    <w:link w:val="AkapitzlistZnak"/>
    <w:uiPriority w:val="34"/>
    <w:qFormat/>
    <w:rsid w:val="0049792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4979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49792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7923"/>
    <w:rPr>
      <w:vertAlign w:val="superscript"/>
    </w:rPr>
  </w:style>
  <w:style w:type="character" w:customStyle="1" w:styleId="AkapitzlistZnak">
    <w:name w:val="Akapit z listą Znak"/>
    <w:aliases w:val="List Paragraph Znak,Normal Znak,Akapit z listą31 Znak,Akapit z listą32 Znak,maz_wyliczenie Znak,opis dzialania Znak,K-P_odwolanie Znak,A_wyliczenie Znak,Akapit z listą5 Znak,Normalny2 Znak,Akapit z listą3 Znak,normalny tekst Znak"/>
    <w:link w:val="Akapitzlist"/>
    <w:uiPriority w:val="34"/>
    <w:qFormat/>
    <w:locked/>
    <w:rsid w:val="00497923"/>
  </w:style>
  <w:style w:type="character" w:customStyle="1" w:styleId="cf01">
    <w:name w:val="cf01"/>
    <w:basedOn w:val="Domylnaczcionkaakapitu"/>
    <w:rsid w:val="00497923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4979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92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,Normal,Akapit z listą31,Akapit z listą32,maz_wyliczenie,opis dzialania,K-P_odwolanie,A_wyliczenie,Akapit z listą5,Normalny2,Akapit z listą3,normalny tekst,Obiekt,List Paragraph1,Asia 2  Akapit z listą,tekst normalny"/>
    <w:basedOn w:val="Normalny"/>
    <w:link w:val="AkapitzlistZnak"/>
    <w:uiPriority w:val="34"/>
    <w:qFormat/>
    <w:rsid w:val="0049792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4979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49792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7923"/>
    <w:rPr>
      <w:vertAlign w:val="superscript"/>
    </w:rPr>
  </w:style>
  <w:style w:type="character" w:customStyle="1" w:styleId="AkapitzlistZnak">
    <w:name w:val="Akapit z listą Znak"/>
    <w:aliases w:val="List Paragraph Znak,Normal Znak,Akapit z listą31 Znak,Akapit z listą32 Znak,maz_wyliczenie Znak,opis dzialania Znak,K-P_odwolanie Znak,A_wyliczenie Znak,Akapit z listą5 Znak,Normalny2 Znak,Akapit z listą3 Znak,normalny tekst Znak"/>
    <w:link w:val="Akapitzlist"/>
    <w:uiPriority w:val="34"/>
    <w:qFormat/>
    <w:locked/>
    <w:rsid w:val="00497923"/>
  </w:style>
  <w:style w:type="character" w:customStyle="1" w:styleId="cf01">
    <w:name w:val="cf01"/>
    <w:basedOn w:val="Domylnaczcionkaakapitu"/>
    <w:rsid w:val="00497923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4979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3226</Words>
  <Characters>19356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dcterms:created xsi:type="dcterms:W3CDTF">2023-03-20T08:22:00Z</dcterms:created>
  <dcterms:modified xsi:type="dcterms:W3CDTF">2023-03-20T08:23:00Z</dcterms:modified>
</cp:coreProperties>
</file>