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E9EF" w14:textId="77777777" w:rsidR="000B2EB9" w:rsidRDefault="000B2EB9" w:rsidP="000B2EB9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SPRAWOZDANIE</w:t>
      </w:r>
    </w:p>
    <w:p w14:paraId="6E3C313D" w14:textId="77777777" w:rsidR="000B2EB9" w:rsidRDefault="000B2EB9" w:rsidP="000B2EB9">
      <w:pPr>
        <w:pStyle w:val="Standard"/>
        <w:jc w:val="center"/>
        <w:rPr>
          <w:rFonts w:ascii="Calibri Light" w:hAnsi="Calibri Light"/>
          <w:lang w:val="pl-PL"/>
        </w:rPr>
      </w:pPr>
    </w:p>
    <w:p w14:paraId="1639F2F0" w14:textId="77777777" w:rsidR="000B2EB9" w:rsidRDefault="000B2EB9" w:rsidP="000B2EB9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z realizacji Programu Współpracy Gminy Olszanka z organizacjami pozarządowymi i innymi podmiotami prowadzącymi działalność pożytku publicznego w 2024 roku</w:t>
      </w:r>
    </w:p>
    <w:p w14:paraId="4829ABBE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/>
        </w:rPr>
      </w:pPr>
    </w:p>
    <w:p w14:paraId="33107160" w14:textId="43EB4261" w:rsidR="000B2EB9" w:rsidRDefault="000B2EB9" w:rsidP="000B2EB9">
      <w:pPr>
        <w:pStyle w:val="Standard"/>
        <w:jc w:val="both"/>
        <w:rPr>
          <w:rFonts w:hint="eastAsia"/>
        </w:rPr>
      </w:pPr>
      <w:r>
        <w:rPr>
          <w:rFonts w:ascii="Calibri Light" w:hAnsi="Calibri Light"/>
          <w:lang w:val="pl-PL"/>
        </w:rPr>
        <w:t xml:space="preserve">Gminny Program współpracy z organizacjami pozarządowymi i innymi podmiotami prowadzącymi działalność pożytku publicznego uchwalony został  </w:t>
      </w:r>
      <w:r>
        <w:rPr>
          <w:rFonts w:ascii="Calibri Light" w:hAnsi="Calibri Light"/>
          <w:lang w:val="pl-PL" w:eastAsia="en-US" w:bidi="ar-SA"/>
        </w:rPr>
        <w:t>UCHWAŁĄ Nr LXI/370/2023 Rady Gminy Olszanka z dnia 27 listopada 2023 roku w sprawie uchwalenia programu współpracy Gminy Olszanka z organizacjami pozarządowymi oraz podmiotami wymienionymi w art. 3 ust. 3 ustawy z dnia 24 kwietnia 2003 r. o działalności pożytku publicznego i o wolontariacie na 2024 rok,</w:t>
      </w:r>
      <w:r w:rsidR="0066051A">
        <w:t xml:space="preserve"> </w:t>
      </w:r>
      <w:r>
        <w:rPr>
          <w:rFonts w:ascii="Calibri Light" w:hAnsi="Calibri Light"/>
          <w:lang w:val="pl-PL" w:eastAsia="en-US" w:bidi="ar-SA"/>
        </w:rPr>
        <w:t>po przeprowadzeniu konsultacji z organizacjami pozarządowymi i podmiotami wymienionymi</w:t>
      </w:r>
      <w:r w:rsidR="0066051A">
        <w:rPr>
          <w:rFonts w:ascii="Calibri Light" w:hAnsi="Calibri Light"/>
          <w:lang w:val="pl-PL" w:eastAsia="en-US" w:bidi="ar-SA"/>
        </w:rPr>
        <w:t xml:space="preserve"> </w:t>
      </w:r>
      <w:r>
        <w:rPr>
          <w:rFonts w:ascii="Calibri Light" w:hAnsi="Calibri Light"/>
          <w:lang w:val="pl-PL" w:eastAsia="en-US" w:bidi="ar-SA"/>
        </w:rPr>
        <w:t>w art. 3 ust. 3 ustawy z dnia 24 kwietnia 2003 r. o działalności pożytku publicznego i o wolontariacie.</w:t>
      </w:r>
    </w:p>
    <w:p w14:paraId="48D49B07" w14:textId="77777777" w:rsidR="0066051A" w:rsidRPr="0066051A" w:rsidRDefault="0066051A" w:rsidP="000B2EB9">
      <w:pPr>
        <w:pStyle w:val="Standard"/>
        <w:jc w:val="both"/>
        <w:rPr>
          <w:rFonts w:hint="eastAsia"/>
        </w:rPr>
      </w:pPr>
    </w:p>
    <w:p w14:paraId="18DA4825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Celem głównym Programu jest budowanie i wzmacnianie partnerstwa oraz dialogu społecznego między Gminą a Organizacjami, a także skuteczniejsze działanie na rzecz poprawy jakości życia mieszkańców Gminy poprzez wspólną realizację zadań publicznych.</w:t>
      </w:r>
    </w:p>
    <w:p w14:paraId="090E65DF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Celami szczegółowymi Programu są:</w:t>
      </w:r>
    </w:p>
    <w:p w14:paraId="0866D8DB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1) wzmocnienie w świadomości społecznej poczucia współodpowiedzialności za życie lokalnej  wspólnoty,</w:t>
      </w:r>
    </w:p>
    <w:p w14:paraId="6C9A0FEA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2) wspieranie rozwoju aktywności w społeczności Gminy i jej zaangażowania w proces definiowania          i rozwiązywania problemów Gminy,</w:t>
      </w:r>
    </w:p>
    <w:p w14:paraId="6D617359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3) wzmocnienie wsparcia dla inicjatyw, zarówno indywidualnych mieszkańców Gminy, jak                                       i Organizacji, podejmowanych w celu eliminowania negatywnych zjawisk dotykających społeczność lokalną,</w:t>
      </w:r>
    </w:p>
    <w:p w14:paraId="4E931A89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4) wzmocnienie potencjału sektora pozarządowego,</w:t>
      </w:r>
    </w:p>
    <w:p w14:paraId="7C6DE7B0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5) zlecanie realizacji zadań publicznych Organizacjom celem identyfikacji i rozwiązywania problemów społeczności lokalnej,</w:t>
      </w:r>
    </w:p>
    <w:p w14:paraId="1F5E36B0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6) tworzenie warunków dla powstawania inicjatyw i struktur funkcjonujących na rzecz społeczności lokalnej,</w:t>
      </w:r>
    </w:p>
    <w:p w14:paraId="7C64B934" w14:textId="77777777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7) zwiększenie wpływu sektora obywatelskiego na kreowanie polityki społecznej w Gminie,</w:t>
      </w:r>
    </w:p>
    <w:p w14:paraId="3F21F3BB" w14:textId="1F4C4173" w:rsidR="000B2EB9" w:rsidRDefault="000B2EB9" w:rsidP="000B2EB9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8)zwiększenie aktywności Organizacji w zdobywaniu i wykorzystywaniu środków pozabudżetowych na rzecz mieszkańców,</w:t>
      </w:r>
    </w:p>
    <w:p w14:paraId="14901FE2" w14:textId="77777777" w:rsidR="000B2EB9" w:rsidRDefault="000B2EB9" w:rsidP="000B2EB9">
      <w:pPr>
        <w:pStyle w:val="Standard"/>
        <w:widowControl w:val="0"/>
        <w:jc w:val="both"/>
        <w:rPr>
          <w:rFonts w:hint="eastAsia"/>
        </w:rPr>
      </w:pPr>
      <w:r>
        <w:rPr>
          <w:rFonts w:ascii="Calibri Light" w:hAnsi="Calibri Light"/>
          <w:lang w:val="pl-PL" w:eastAsia="pl-PL" w:bidi="ar-SA"/>
        </w:rPr>
        <w:t>9) zwiększenie roli Gminy w promocji działań Organizacji.</w:t>
      </w:r>
    </w:p>
    <w:p w14:paraId="7823D77F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Przy realizacji celów Gmina kierowała się głównie:</w:t>
      </w:r>
    </w:p>
    <w:p w14:paraId="690DDAE3" w14:textId="03D41B83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1) zasadą partnerstwa - organizacje pozarządowe, na zasadach i w formie określonej w ustawie oraz zgodnie z trybem wynikającym z odrębnych przepisów, uczestniczą w identyfikowaniu                             i definiowaniu problemów społecznych, wypracowywaniu sposobów ich rozwiązywania oraz wykonywaniu zadań publicznych;</w:t>
      </w:r>
    </w:p>
    <w:p w14:paraId="4D63A0CF" w14:textId="6AB2077E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2) zasadą pomocniczości i suwerenności stron – oznacza uporządkowanie wzajemnych relacji oraz podział zadań między sektorem publicznym a sektorem obywatelskim co oznacza, że Gmina przekazuje zadania do realizacji organizacjom pozarządowym tam, gdzie istnieją ku temu odpowiednie warunki organizacyjne i finansowe;</w:t>
      </w:r>
    </w:p>
    <w:p w14:paraId="2BB92818" w14:textId="4AD65A65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3) zasadą jawności podejmowanych działań – Gmina Olszanka udostępnia współpracującym           z nią organizacjom pozarządowym informacje o zamiarach i celach realizowanych zadań publicznych, w których możliwa jest współpraca z tymi organizacjami;</w:t>
      </w:r>
    </w:p>
    <w:p w14:paraId="7943E474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lastRenderedPageBreak/>
        <w:t>4) zasadą legalności - wszelkie działania Gminy oraz organizacji pozarządowych odbywają się                      w granicach i na podstawie przepisów prawa;</w:t>
      </w:r>
    </w:p>
    <w:p w14:paraId="3CA02EC7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5) zasadą efektywności – polega na wspólnym dążeniu do osiągnięcia najlepszych efektów                                 w realizacji zadań publicznych;</w:t>
      </w:r>
    </w:p>
    <w:p w14:paraId="682F4CDA" w14:textId="36CF9832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6) zasadą uczciwej konkurencji - oznacza to wymóg udzielania tych samych informacji, odnośnie wykonywanych działań, zarówno przez podmioty publiczne, jak i niepubliczne, a także obowiązek stosowania tych samych kryteriów przy dokonywaniu oceny tych działań                             i podejmowaniu decyzji odnośnie ich finansowania.</w:t>
      </w:r>
    </w:p>
    <w:p w14:paraId="79A428C0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</w:p>
    <w:p w14:paraId="4CD516EA" w14:textId="1180C938" w:rsidR="000B2EB9" w:rsidRPr="0066051A" w:rsidRDefault="000B2EB9" w:rsidP="000B2EB9">
      <w:pPr>
        <w:pStyle w:val="Standard"/>
        <w:jc w:val="both"/>
        <w:rPr>
          <w:rFonts w:hint="eastAsia"/>
        </w:rPr>
      </w:pPr>
      <w:r>
        <w:rPr>
          <w:rFonts w:ascii="Calibri Light" w:hAnsi="Calibri Light"/>
          <w:lang w:val="pl-PL" w:eastAsia="en-US" w:bidi="ar-SA"/>
        </w:rPr>
        <w:t xml:space="preserve">   W 2024 roku przedmiotem współpracy Gminy z organizacjami pozarządowymi były głównie zadania realizowane w zakresie sportu oraz zadania ujęte w Gminnym Programie Profilaktyki                                          i Rozwiązywania Problemów Alkoholowych oraz Przeciwdziałania Narkomanii na lata 2022-2024, przy czym Gmina wspierała finansowo zadania z zakresu rozwoju kultury fizycznej i sportu poprzez ogłaszanie otwartych konkursów ofert. Zadania ujęte w Gminnym Programie Profilaktyki i Rozwiązywania Problemów Alkoholowych oraz Przeciwdziałania Narkomanii realizowane były za pośrednictwem m. in. Sołectw przy współudziale organizacji wiejskich, placówek oświatowych, przy wsparciu merytorycznym pracownika Urzędu Gminy. Ponadto          w 2024 roku Gmina wsparła zadanie w zakresie ochrony zdrowia </w:t>
      </w:r>
      <w:r>
        <w:rPr>
          <w:rFonts w:ascii="Calibri Light" w:hAnsi="Calibri Light"/>
          <w:sz w:val="26"/>
          <w:szCs w:val="26"/>
          <w:lang w:val="pl-PL" w:eastAsia="en-US" w:bidi="ar-SA"/>
        </w:rPr>
        <w:t xml:space="preserve">poprzez umożliwienie mieszkańcom Gminy Olszanka korzystania z inhalacji bogatej w mikroelementy tężni solankowej w Olszance. </w:t>
      </w:r>
      <w:r>
        <w:rPr>
          <w:rFonts w:ascii="Calibri Light" w:hAnsi="Calibri Light"/>
          <w:b/>
          <w:bCs/>
          <w:sz w:val="26"/>
          <w:szCs w:val="26"/>
          <w:lang w:val="pl-PL" w:eastAsia="en-US" w:bidi="ar-SA"/>
        </w:rPr>
        <w:t xml:space="preserve"> </w:t>
      </w:r>
      <w:r>
        <w:rPr>
          <w:rFonts w:ascii="Calibri Light" w:hAnsi="Calibri Light"/>
          <w:sz w:val="26"/>
          <w:szCs w:val="26"/>
          <w:lang w:val="pl-PL" w:eastAsia="en-US" w:bidi="ar-SA"/>
        </w:rPr>
        <w:t>Na podstawie art. 19a ustawy      o działalności pożytku publicznego i o wolontariacie, udzielona została dotacja na zakup solanki do tężni. Ponadto Gmina wspierała działania organizacji poprzez pomoc merytoryczną                           i organizacyjną przy pozyskaniu środków finansowych na realizację m. in. projektów dot. aktywizacji lokalnej społeczności.</w:t>
      </w:r>
    </w:p>
    <w:p w14:paraId="25E0A9E3" w14:textId="77777777" w:rsidR="000B2EB9" w:rsidRDefault="000B2EB9" w:rsidP="000B2EB9">
      <w:pPr>
        <w:pStyle w:val="Standard"/>
        <w:jc w:val="both"/>
        <w:rPr>
          <w:rFonts w:hint="eastAsia"/>
        </w:rPr>
      </w:pPr>
    </w:p>
    <w:p w14:paraId="6A530D87" w14:textId="77777777" w:rsidR="000B2EB9" w:rsidRPr="0066051A" w:rsidRDefault="000B2EB9" w:rsidP="000B2EB9">
      <w:pPr>
        <w:pStyle w:val="Standard"/>
        <w:jc w:val="center"/>
        <w:rPr>
          <w:rFonts w:hint="eastAsia"/>
        </w:rPr>
      </w:pPr>
      <w:r w:rsidRPr="0066051A">
        <w:rPr>
          <w:rFonts w:ascii="Calibri Light" w:hAnsi="Calibri Light"/>
          <w:b/>
          <w:bCs/>
          <w:lang w:val="pl-PL" w:eastAsia="en-US" w:bidi="ar-SA"/>
        </w:rPr>
        <w:t>REALIZACJA ZADAŃ PUBLICZNYCH PRZEZ STOWARZYSZENIA OGÓŁEM</w:t>
      </w:r>
    </w:p>
    <w:p w14:paraId="642061E7" w14:textId="415F1288" w:rsidR="000B2EB9" w:rsidRDefault="000B2EB9" w:rsidP="0066051A">
      <w:pPr>
        <w:pStyle w:val="Standard"/>
        <w:jc w:val="center"/>
        <w:rPr>
          <w:rFonts w:ascii="Calibri Light" w:hAnsi="Calibri Light"/>
          <w:b/>
          <w:bCs/>
          <w:lang w:val="pl-PL" w:eastAsia="en-US" w:bidi="ar-SA"/>
        </w:rPr>
      </w:pPr>
      <w:r w:rsidRPr="0066051A">
        <w:rPr>
          <w:rFonts w:ascii="Calibri Light" w:hAnsi="Calibri Light"/>
          <w:b/>
          <w:bCs/>
          <w:lang w:val="pl-PL" w:eastAsia="en-US" w:bidi="ar-SA"/>
        </w:rPr>
        <w:t>w 2024 roku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0B2EB9" w:rsidRPr="0066051A" w14:paraId="7281C008" w14:textId="77777777" w:rsidTr="00D000EA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8B967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Nazwa Stowarzyszenia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D8021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Całkowity koszt zadania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9586A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Kwota wsparcia – udzielonej dotacji z budżetu Gminy</w:t>
            </w:r>
          </w:p>
        </w:tc>
      </w:tr>
    </w:tbl>
    <w:p w14:paraId="76B0F7D3" w14:textId="77777777" w:rsidR="000B2EB9" w:rsidRPr="0066051A" w:rsidRDefault="000B2EB9" w:rsidP="000B2EB9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B2EB9" w:rsidRPr="0066051A" w14:paraId="41FB4BA6" w14:textId="77777777" w:rsidTr="00D000EA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CE8C9" w14:textId="13793CC3" w:rsidR="000B2EB9" w:rsidRPr="0066051A" w:rsidRDefault="000B2EB9" w:rsidP="0066051A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Zakres wsparcia w ramach ogłoszonych przez Gminę otwartych konkursów ofert w zakresie upowszechniania kultury fizycznej i sportu</w:t>
            </w:r>
          </w:p>
        </w:tc>
      </w:tr>
    </w:tbl>
    <w:p w14:paraId="6091F6F8" w14:textId="77777777" w:rsidR="000B2EB9" w:rsidRPr="0066051A" w:rsidRDefault="000B2EB9" w:rsidP="000B2EB9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0B2EB9" w:rsidRPr="0066051A" w14:paraId="2D124575" w14:textId="77777777" w:rsidTr="00D000EA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C75DD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sz w:val="22"/>
                <w:szCs w:val="22"/>
                <w:lang w:val="pl-PL"/>
              </w:rPr>
              <w:t>Ludowy Zespół Sportowy</w:t>
            </w:r>
          </w:p>
          <w:p w14:paraId="0B027D19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sz w:val="22"/>
                <w:szCs w:val="22"/>
                <w:lang w:val="pl-PL"/>
              </w:rPr>
              <w:t>Klub Sportowy Olszanka-Pogorzela, Sekcja Sportów Siłowych, Pogorzela 35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5EB70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21A63335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27 597,59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73420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2F67681F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22 000,00</w:t>
            </w:r>
          </w:p>
        </w:tc>
      </w:tr>
      <w:tr w:rsidR="000B2EB9" w:rsidRPr="0066051A" w14:paraId="79D1074D" w14:textId="77777777" w:rsidTr="00D000EA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F529A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sz w:val="22"/>
                <w:szCs w:val="22"/>
                <w:lang w:val="pl-PL"/>
              </w:rPr>
              <w:t>Gminne Zrzeszenie LZS w Olszance z/s w Krzyżowicach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0A128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90 000,00</w:t>
            </w:r>
          </w:p>
          <w:p w14:paraId="6F0352BF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A53B5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86 000,00</w:t>
            </w:r>
          </w:p>
          <w:p w14:paraId="6EBA3D5D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14:paraId="6312122D" w14:textId="77777777" w:rsidR="000B2EB9" w:rsidRPr="0066051A" w:rsidRDefault="000B2EB9" w:rsidP="000B2EB9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0B2EB9" w:rsidRPr="0066051A" w14:paraId="619B5042" w14:textId="77777777" w:rsidTr="00D000EA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03644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sz w:val="22"/>
                <w:szCs w:val="22"/>
                <w:lang w:val="pl-PL"/>
              </w:rPr>
              <w:t>Uczniowski Klub Sportowy Akademia Piłkarska Olszanka,  Olszanka 25A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EBA73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6083AF42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16 000,00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75CF4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64E5DEA5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12 000,00</w:t>
            </w:r>
          </w:p>
        </w:tc>
      </w:tr>
    </w:tbl>
    <w:p w14:paraId="1E62D888" w14:textId="77777777" w:rsidR="000B2EB9" w:rsidRPr="0066051A" w:rsidRDefault="000B2EB9" w:rsidP="000B2EB9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B2EB9" w:rsidRPr="0066051A" w14:paraId="65CA55AD" w14:textId="77777777" w:rsidTr="00D000EA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F9956" w14:textId="2D1CB52C" w:rsidR="000B2EB9" w:rsidRPr="0066051A" w:rsidRDefault="000B2EB9" w:rsidP="0066051A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Zakres wsparcia na realizację zadania publicznego z pominięciem otwartego konkursu ofert, na podstawie art. 19a w zakresie ochrony zdrowia</w:t>
            </w:r>
          </w:p>
        </w:tc>
      </w:tr>
    </w:tbl>
    <w:p w14:paraId="1E45BB18" w14:textId="77777777" w:rsidR="000B2EB9" w:rsidRPr="0066051A" w:rsidRDefault="000B2EB9" w:rsidP="000B2EB9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0B2EB9" w:rsidRPr="0066051A" w14:paraId="1D4DD071" w14:textId="77777777" w:rsidTr="00D000EA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75B1C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6051A">
              <w:rPr>
                <w:rFonts w:ascii="Calibri Light" w:hAnsi="Calibri Light"/>
                <w:sz w:val="22"/>
                <w:szCs w:val="22"/>
                <w:lang w:val="pl-PL"/>
              </w:rPr>
              <w:t>Stowarzyszenie Na Rzecz Rozwoju Sołectwa Olszanka, Olszanka 1I</w:t>
            </w:r>
          </w:p>
          <w:p w14:paraId="24DF47BF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0268E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9 876,90</w:t>
            </w:r>
          </w:p>
          <w:p w14:paraId="6063E9F4" w14:textId="77777777" w:rsidR="000B2EB9" w:rsidRPr="0066051A" w:rsidRDefault="000B2EB9" w:rsidP="00D000EA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323B5" w14:textId="77777777" w:rsidR="000B2EB9" w:rsidRPr="0066051A" w:rsidRDefault="000B2EB9" w:rsidP="00D000EA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6051A">
              <w:rPr>
                <w:rFonts w:ascii="Calibri Light" w:hAnsi="Calibri Light"/>
                <w:sz w:val="22"/>
                <w:szCs w:val="22"/>
              </w:rPr>
              <w:t>9 876,90</w:t>
            </w:r>
          </w:p>
        </w:tc>
      </w:tr>
    </w:tbl>
    <w:p w14:paraId="4D4231ED" w14:textId="77777777" w:rsidR="000B2EB9" w:rsidRDefault="000B2EB9" w:rsidP="000B2EB9">
      <w:pPr>
        <w:pStyle w:val="Standard"/>
        <w:jc w:val="both"/>
        <w:rPr>
          <w:rFonts w:ascii="Calibri Light" w:hAnsi="Calibri Light"/>
          <w:b/>
          <w:bCs/>
          <w:sz w:val="26"/>
          <w:szCs w:val="26"/>
          <w:lang w:val="pl-PL" w:eastAsia="en-US" w:bidi="ar-SA"/>
        </w:rPr>
      </w:pPr>
    </w:p>
    <w:p w14:paraId="7F8237BF" w14:textId="77777777" w:rsidR="000B2EB9" w:rsidRDefault="000B2EB9" w:rsidP="000B2EB9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Poza wsparciem finansowym, Gmina wspierała działalność organizacji poprzez udostępnianie organizacjom sportowym w formie umów użyczenia obiektów sportowych (boiska, szatnie sportowe), a także organizacjom, które działają m. in. w zakresie kultury i aktywności społecznej, pomieszczenia świetlic wiejskich, czy też inne miejsca przeznaczone do integracji społecznej mieszkańców.</w:t>
      </w:r>
    </w:p>
    <w:p w14:paraId="41A194BF" w14:textId="0CC5593C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 W 2024 roku organizacje pozarządowe wykazały się ogromnym zaangażowaniem                                 i efektywnością w niesieniu pomocy podczas powodzi. Wśród nich najwyższą aktywnością wykazały się:</w:t>
      </w:r>
    </w:p>
    <w:p w14:paraId="6ED42EB0" w14:textId="2A50C1A2" w:rsidR="000B2EB9" w:rsidRDefault="000B2EB9" w:rsidP="0066051A">
      <w:pPr>
        <w:pStyle w:val="Textbody"/>
        <w:numPr>
          <w:ilvl w:val="0"/>
          <w:numId w:val="6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Stowarzyszenie Rozwoju Jankowic Wielkich "JANKO" wraz z Radą Sołecką. Akacja powodzi trwała miesiąc czasu. Uczestniczyło w niej około 50 osób, w tym młodzież               a nawet dzieci ze szkoły podstawowej. Stowarzyszenie odebrało i rozdysponowało dary z 16 busów i z połowy tira, które bezpośrednio zostało rozprowadzone prywatnymi środkami transportu dla powodzian z terenu gminy Lewin Brzeski, miejscowości Michałów z gminy Olszanka i z gminy Grodków. Zostało upieczone 15 blach ciasta, przygotowano 800 pierogów i 200 kanapek dla strażaków, żołnierzy i wolontariuszy, którzy pomagali przy usuwaniu skutków powodzi.</w:t>
      </w:r>
    </w:p>
    <w:p w14:paraId="5D1004D4" w14:textId="5F6F0026" w:rsidR="000B2EB9" w:rsidRDefault="000B2EB9" w:rsidP="0066051A">
      <w:pPr>
        <w:pStyle w:val="Textbody"/>
        <w:numPr>
          <w:ilvl w:val="0"/>
          <w:numId w:val="6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Towarzystwo Przyjaciół Krzyżowic wraz z Radą Sołecką. Towarzystwo Przyjaciół Krzyżowic wraz Radą Sołecką przygotowało ponad 500 porcji obiadowych dla żołnierzy biorących udział w akcji powodziowej. Ponadto mieszkańcy Sołectwa Krzyżowice zbierali dary dla powodzia</w:t>
      </w:r>
      <w:r w:rsidR="004843E3">
        <w:rPr>
          <w:rFonts w:ascii="Calibri Light" w:hAnsi="Calibri Light"/>
          <w:lang w:val="pl-PL"/>
        </w:rPr>
        <w:t>n</w:t>
      </w:r>
      <w:r>
        <w:rPr>
          <w:rFonts w:ascii="Calibri Light" w:hAnsi="Calibri Light"/>
          <w:lang w:val="pl-PL"/>
        </w:rPr>
        <w:t xml:space="preserve"> i schronisk z gminy Lewin Brzeski. W akcji przyjmowania i rozdysponowania darów brało udział około 20 osób, w tym młodzież i dzieci szkolne. Dary przewieziono prywatnym transportem do miejsca ewakuacji dla powodzian w Szkole Podstawowej</w:t>
      </w:r>
      <w:r w:rsidR="004843E3">
        <w:rPr>
          <w:rFonts w:ascii="Calibri Light" w:hAnsi="Calibri Light"/>
          <w:lang w:val="pl-PL"/>
        </w:rPr>
        <w:t xml:space="preserve">         </w:t>
      </w:r>
      <w:r>
        <w:rPr>
          <w:rFonts w:ascii="Calibri Light" w:hAnsi="Calibri Light"/>
          <w:lang w:val="pl-PL"/>
        </w:rPr>
        <w:t xml:space="preserve"> w Łosiowie. Ponadto Świetlica</w:t>
      </w:r>
      <w:r w:rsidR="004843E3">
        <w:rPr>
          <w:rFonts w:ascii="Calibri Light" w:hAnsi="Calibri Light"/>
          <w:lang w:val="pl-PL"/>
        </w:rPr>
        <w:t xml:space="preserve"> </w:t>
      </w:r>
      <w:r>
        <w:rPr>
          <w:rFonts w:ascii="Calibri Light" w:hAnsi="Calibri Light"/>
          <w:lang w:val="pl-PL"/>
        </w:rPr>
        <w:t>w Krzyżowicach oraz Remiza Strażacka w Krzyżowicach stanowiły HUB przeładunkowy, czyli miejsce, gdzie odbywało się zbieranie</w:t>
      </w:r>
      <w:r w:rsidR="004843E3">
        <w:rPr>
          <w:rFonts w:ascii="Calibri Light" w:hAnsi="Calibri Light"/>
          <w:lang w:val="pl-PL"/>
        </w:rPr>
        <w:t xml:space="preserve">                                   </w:t>
      </w:r>
      <w:r>
        <w:rPr>
          <w:rFonts w:ascii="Calibri Light" w:hAnsi="Calibri Light"/>
          <w:lang w:val="pl-PL"/>
        </w:rPr>
        <w:t>i rozdysponowanie darów z przeznaczeniem dla powodzian. Przekazane dary od gmin</w:t>
      </w:r>
      <w:r w:rsidR="004843E3">
        <w:rPr>
          <w:rFonts w:ascii="Calibri Light" w:hAnsi="Calibri Light"/>
          <w:lang w:val="pl-PL"/>
        </w:rPr>
        <w:t xml:space="preserve">      </w:t>
      </w:r>
      <w:r>
        <w:rPr>
          <w:rFonts w:ascii="Calibri Light" w:hAnsi="Calibri Light"/>
          <w:lang w:val="pl-PL"/>
        </w:rPr>
        <w:t>i sołectw:</w:t>
      </w:r>
    </w:p>
    <w:p w14:paraId="4A9632A0" w14:textId="4EBE892A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Miłosław, sołectwo Orzechowo,</w:t>
      </w:r>
    </w:p>
    <w:p w14:paraId="7F20F665" w14:textId="594315F4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Brzezie, sołectwo Kędziorki,</w:t>
      </w:r>
    </w:p>
    <w:p w14:paraId="2E996B77" w14:textId="25860F2E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Wieruszów,</w:t>
      </w:r>
    </w:p>
    <w:p w14:paraId="4EBC87ED" w14:textId="64CAB475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Sułów i Biblioteka Publiczna w Sułowie,</w:t>
      </w:r>
    </w:p>
    <w:p w14:paraId="31B764D1" w14:textId="5A062D41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Pruszcz Gdański, sołectwo Radunica,</w:t>
      </w:r>
    </w:p>
    <w:p w14:paraId="63A377F8" w14:textId="0547807C" w:rsidR="000B2EB9" w:rsidRDefault="000B2EB9" w:rsidP="0066051A">
      <w:pPr>
        <w:pStyle w:val="Textbody"/>
        <w:numPr>
          <w:ilvl w:val="0"/>
          <w:numId w:val="2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Gmina Kluczbork, sołectwo Krzywizna,</w:t>
      </w:r>
    </w:p>
    <w:p w14:paraId="113E6154" w14:textId="77777777" w:rsidR="000B2EB9" w:rsidRDefault="000B2EB9" w:rsidP="000B2EB9">
      <w:pPr>
        <w:pStyle w:val="Textbody"/>
        <w:spacing w:line="240" w:lineRule="auto"/>
        <w:ind w:left="720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rozdysponowano i przekazano dla gminy Lewin Brzeski oraz dla gminy Stronie Śląskie.</w:t>
      </w:r>
    </w:p>
    <w:p w14:paraId="21288D23" w14:textId="77777777" w:rsidR="000B2EB9" w:rsidRDefault="000B2EB9" w:rsidP="000B2EB9">
      <w:pPr>
        <w:pStyle w:val="Textbody"/>
        <w:spacing w:line="240" w:lineRule="auto"/>
        <w:ind w:left="720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Koordynacja i współpracowanie w zbiórce darów i rozdysponowanie ich odbywało się poprzez kontakt z sołectwami w/w gmin.</w:t>
      </w:r>
    </w:p>
    <w:p w14:paraId="2BBB4558" w14:textId="77777777" w:rsidR="000B2EB9" w:rsidRDefault="000B2EB9" w:rsidP="0066051A">
      <w:pPr>
        <w:pStyle w:val="Textbody"/>
        <w:numPr>
          <w:ilvl w:val="0"/>
          <w:numId w:val="7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Przygotowano 3000 porcji obiadów dla żołnierzy i wolontariuszy pracujących przy usuwaniu skutków powodzi w gminie Lewin Brzeski. Posiłki przygotowały stowarzyszenia i KGW z gminy Olszanka:</w:t>
      </w:r>
    </w:p>
    <w:p w14:paraId="4A5FFB56" w14:textId="0DEDA275" w:rsidR="000B2EB9" w:rsidRDefault="000B2EB9" w:rsidP="0066051A">
      <w:pPr>
        <w:pStyle w:val="Textbody"/>
        <w:numPr>
          <w:ilvl w:val="0"/>
          <w:numId w:val="4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KGW "LIDERKI" z Przylesie,</w:t>
      </w:r>
    </w:p>
    <w:p w14:paraId="5F39FF30" w14:textId="2620863D" w:rsidR="000B2EB9" w:rsidRDefault="000B2EB9" w:rsidP="0066051A">
      <w:pPr>
        <w:pStyle w:val="Textbody"/>
        <w:numPr>
          <w:ilvl w:val="0"/>
          <w:numId w:val="4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Stowarzyszenie na Rzecz Rozwoju Sołectwa Olszanka,</w:t>
      </w:r>
    </w:p>
    <w:p w14:paraId="4EFFB252" w14:textId="6165C8F2" w:rsidR="000B2EB9" w:rsidRDefault="000B2EB9" w:rsidP="0066051A">
      <w:pPr>
        <w:pStyle w:val="Textbody"/>
        <w:numPr>
          <w:ilvl w:val="0"/>
          <w:numId w:val="4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lastRenderedPageBreak/>
        <w:t>KGW z Michałowa,</w:t>
      </w:r>
    </w:p>
    <w:p w14:paraId="787D9596" w14:textId="1CC5CAE2" w:rsidR="000B2EB9" w:rsidRPr="000B2EB9" w:rsidRDefault="000B2EB9" w:rsidP="0066051A">
      <w:pPr>
        <w:pStyle w:val="Textbody"/>
        <w:numPr>
          <w:ilvl w:val="0"/>
          <w:numId w:val="4"/>
        </w:numPr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Towarzystwo Kobiet Wiejskich z Pogorzeli.</w:t>
      </w:r>
    </w:p>
    <w:p w14:paraId="04E08DB0" w14:textId="42F22E3C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Ponadto koordynacją i dostarczaniem posiłków dla żołnierzy i wolontariuszy, dla stowarzyszeń           i kół gospodyń wiejskich kierowało Stowarzyszenie Brzesko-Oławska Wieś Historyczna. Posiłki przygotowały stowarzyszenia i KGW z gmin: Olszanka, Lewin Brzeski, Oława, Skarbimierz.</w:t>
      </w:r>
    </w:p>
    <w:p w14:paraId="35A84585" w14:textId="6FDD98D6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Stałym merytorycznym i finansowym wsparciem Gminy objęte są Ochotnicze Straże Pożarne, które są organizacjami społecznymi o szczególnym charakterze i znaczeniu dla Samorządu Gminy. Ich działalność opiera się głównie na pracy społecznej druhów strażaków, a wsparcie merytoryczne w zakresie ich działalności wpisane jest na stałe do zadań Gminy.</w:t>
      </w:r>
    </w:p>
    <w:p w14:paraId="137FDC15" w14:textId="14007037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Założenia spodziewanych efektów współpracy Gminy z organizacjami pozarządowymi zostały          w dużej mierze zrealizowane i przyczyniły się do podniesienia poziomu życia mieszkańców Gminy w sferze zrealizowanych w 2024 roku zadań.</w:t>
      </w:r>
    </w:p>
    <w:p w14:paraId="2B2AC029" w14:textId="77777777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</w:p>
    <w:p w14:paraId="221AB705" w14:textId="77777777" w:rsidR="000B2EB9" w:rsidRDefault="000B2EB9" w:rsidP="000B2EB9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</w:p>
    <w:p w14:paraId="6FF9BEDD" w14:textId="77777777" w:rsidR="004843E3" w:rsidRDefault="004843E3" w:rsidP="004843E3">
      <w:pPr>
        <w:rPr>
          <w:rFonts w:ascii="Calibri" w:eastAsia="Times New Roman" w:hAnsi="Calibri" w:cs="Times New Roman"/>
          <w:kern w:val="0"/>
          <w:sz w:val="22"/>
          <w:szCs w:val="22"/>
          <w:lang w:val="pl-PL" w:eastAsia="en-US" w:bidi="ar-SA"/>
        </w:rPr>
      </w:pPr>
      <w:r>
        <w:t xml:space="preserve">                                                                                                          </w:t>
      </w:r>
    </w:p>
    <w:p w14:paraId="5B1C0E3C" w14:textId="77777777" w:rsidR="004843E3" w:rsidRDefault="004843E3" w:rsidP="004843E3">
      <w:pPr>
        <w:ind w:left="4956" w:firstLine="708"/>
        <w:rPr>
          <w:rFonts w:ascii="Calibri Light" w:hAnsi="Calibri Light" w:cs="Calibri Light"/>
          <w:lang w:eastAsia="en-US"/>
        </w:rPr>
      </w:pPr>
      <w:bookmarkStart w:id="0" w:name="_Hlk218752532"/>
      <w:r>
        <w:rPr>
          <w:rFonts w:ascii="Calibri Light" w:hAnsi="Calibri Light" w:cs="Calibri Light"/>
          <w:lang w:eastAsia="en-US"/>
        </w:rPr>
        <w:t xml:space="preserve">   </w:t>
      </w:r>
      <w:bookmarkStart w:id="1" w:name="_Hlk202340178"/>
      <w:r>
        <w:rPr>
          <w:rFonts w:ascii="Calibri Light" w:hAnsi="Calibri Light" w:cs="Calibri Light"/>
          <w:lang w:eastAsia="en-US"/>
        </w:rPr>
        <w:t>Wójt Gminy Olszanka</w:t>
      </w:r>
    </w:p>
    <w:p w14:paraId="5E5AE7A4" w14:textId="77777777" w:rsidR="004843E3" w:rsidRDefault="004843E3" w:rsidP="004843E3">
      <w:pPr>
        <w:rPr>
          <w:rFonts w:ascii="Calibri Light" w:hAnsi="Calibri Light" w:cs="Calibri Light"/>
          <w:lang w:eastAsia="en-US"/>
        </w:rPr>
      </w:pPr>
    </w:p>
    <w:p w14:paraId="6075623B" w14:textId="77777777" w:rsidR="004843E3" w:rsidRDefault="004843E3" w:rsidP="004843E3">
      <w:pPr>
        <w:ind w:left="4956" w:firstLine="708"/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>/-/ Tymoteusz Drebschok</w:t>
      </w:r>
    </w:p>
    <w:bookmarkEnd w:id="0"/>
    <w:bookmarkEnd w:id="1"/>
    <w:p w14:paraId="1246619B" w14:textId="77777777" w:rsidR="004843E3" w:rsidRDefault="004843E3" w:rsidP="004843E3">
      <w:pPr>
        <w:rPr>
          <w:rFonts w:ascii="Times New Roman" w:hAnsi="Times New Roman" w:cs="Times New Roman"/>
          <w:lang w:eastAsia="pl-PL"/>
        </w:rPr>
      </w:pPr>
    </w:p>
    <w:p w14:paraId="07D7EB7F" w14:textId="311B2790" w:rsidR="00D7645E" w:rsidRDefault="00D7645E">
      <w:pPr>
        <w:rPr>
          <w:rFonts w:hint="eastAsia"/>
        </w:rPr>
      </w:pPr>
    </w:p>
    <w:sectPr w:rsidR="00D7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6437"/>
    <w:multiLevelType w:val="multilevel"/>
    <w:tmpl w:val="C79894D2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16015165"/>
    <w:multiLevelType w:val="hybridMultilevel"/>
    <w:tmpl w:val="8A0EB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12A63"/>
    <w:multiLevelType w:val="hybridMultilevel"/>
    <w:tmpl w:val="826C0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F1779"/>
    <w:multiLevelType w:val="hybridMultilevel"/>
    <w:tmpl w:val="D6669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033DD"/>
    <w:multiLevelType w:val="multilevel"/>
    <w:tmpl w:val="790077DC"/>
    <w:lvl w:ilvl="0">
      <w:start w:val="1"/>
      <w:numFmt w:val="lowerLetter"/>
      <w:lvlText w:val="%1."/>
      <w:lvlJc w:val="left"/>
      <w:pPr>
        <w:ind w:left="707" w:hanging="283"/>
      </w:pPr>
      <w:rPr>
        <w:rFonts w:ascii="Calibri Light" w:eastAsia="SimSun" w:hAnsi="Calibri Light" w:cs="Mangal"/>
      </w:rPr>
    </w:lvl>
    <w:lvl w:ilvl="1">
      <w:start w:val="1"/>
      <w:numFmt w:val="lowerLetter"/>
      <w:lvlText w:val="."/>
      <w:lvlJc w:val="left"/>
      <w:pPr>
        <w:ind w:left="1414" w:hanging="283"/>
      </w:pPr>
    </w:lvl>
    <w:lvl w:ilvl="2">
      <w:start w:val="1"/>
      <w:numFmt w:val="lowerLetter"/>
      <w:lvlText w:val="."/>
      <w:lvlJc w:val="left"/>
      <w:pPr>
        <w:ind w:left="2121" w:hanging="283"/>
      </w:pPr>
    </w:lvl>
    <w:lvl w:ilvl="3">
      <w:start w:val="1"/>
      <w:numFmt w:val="lowerLetter"/>
      <w:lvlText w:val="."/>
      <w:lvlJc w:val="left"/>
      <w:pPr>
        <w:ind w:left="2828" w:hanging="283"/>
      </w:pPr>
    </w:lvl>
    <w:lvl w:ilvl="4">
      <w:start w:val="1"/>
      <w:numFmt w:val="lowerLetter"/>
      <w:lvlText w:val="."/>
      <w:lvlJc w:val="left"/>
      <w:pPr>
        <w:ind w:left="3535" w:hanging="283"/>
      </w:pPr>
    </w:lvl>
    <w:lvl w:ilvl="5">
      <w:start w:val="1"/>
      <w:numFmt w:val="lowerLetter"/>
      <w:lvlText w:val="."/>
      <w:lvlJc w:val="left"/>
      <w:pPr>
        <w:ind w:left="4242" w:hanging="283"/>
      </w:pPr>
    </w:lvl>
    <w:lvl w:ilvl="6">
      <w:start w:val="1"/>
      <w:numFmt w:val="lowerLetter"/>
      <w:lvlText w:val="."/>
      <w:lvlJc w:val="left"/>
      <w:pPr>
        <w:ind w:left="4949" w:hanging="283"/>
      </w:pPr>
    </w:lvl>
    <w:lvl w:ilvl="7">
      <w:start w:val="1"/>
      <w:numFmt w:val="lowerLetter"/>
      <w:lvlText w:val="."/>
      <w:lvlJc w:val="left"/>
      <w:pPr>
        <w:ind w:left="5656" w:hanging="283"/>
      </w:pPr>
    </w:lvl>
    <w:lvl w:ilvl="8">
      <w:start w:val="1"/>
      <w:numFmt w:val="lowerLetter"/>
      <w:lvlText w:val="."/>
      <w:lvlJc w:val="left"/>
      <w:pPr>
        <w:ind w:left="6363" w:hanging="283"/>
      </w:pPr>
    </w:lvl>
  </w:abstractNum>
  <w:abstractNum w:abstractNumId="5" w15:restartNumberingAfterBreak="0">
    <w:nsid w:val="76F555CE"/>
    <w:multiLevelType w:val="multilevel"/>
    <w:tmpl w:val="2FC86C50"/>
    <w:lvl w:ilvl="0">
      <w:start w:val="1"/>
      <w:numFmt w:val="lowerLetter"/>
      <w:lvlText w:val="%1."/>
      <w:lvlJc w:val="left"/>
      <w:pPr>
        <w:ind w:left="707" w:hanging="283"/>
      </w:pPr>
      <w:rPr>
        <w:rFonts w:ascii="Calibri Light" w:eastAsia="SimSun" w:hAnsi="Calibri Light" w:cs="Mangal"/>
      </w:rPr>
    </w:lvl>
    <w:lvl w:ilvl="1">
      <w:start w:val="1"/>
      <w:numFmt w:val="lowerLetter"/>
      <w:lvlText w:val="."/>
      <w:lvlJc w:val="left"/>
      <w:pPr>
        <w:ind w:left="1414" w:hanging="283"/>
      </w:pPr>
    </w:lvl>
    <w:lvl w:ilvl="2">
      <w:start w:val="1"/>
      <w:numFmt w:val="lowerLetter"/>
      <w:lvlText w:val="."/>
      <w:lvlJc w:val="left"/>
      <w:pPr>
        <w:ind w:left="2121" w:hanging="283"/>
      </w:pPr>
    </w:lvl>
    <w:lvl w:ilvl="3">
      <w:start w:val="1"/>
      <w:numFmt w:val="lowerLetter"/>
      <w:lvlText w:val="."/>
      <w:lvlJc w:val="left"/>
      <w:pPr>
        <w:ind w:left="2828" w:hanging="283"/>
      </w:pPr>
    </w:lvl>
    <w:lvl w:ilvl="4">
      <w:start w:val="1"/>
      <w:numFmt w:val="lowerLetter"/>
      <w:lvlText w:val="."/>
      <w:lvlJc w:val="left"/>
      <w:pPr>
        <w:ind w:left="3535" w:hanging="283"/>
      </w:pPr>
    </w:lvl>
    <w:lvl w:ilvl="5">
      <w:start w:val="1"/>
      <w:numFmt w:val="lowerLetter"/>
      <w:lvlText w:val="."/>
      <w:lvlJc w:val="left"/>
      <w:pPr>
        <w:ind w:left="4242" w:hanging="283"/>
      </w:pPr>
    </w:lvl>
    <w:lvl w:ilvl="6">
      <w:start w:val="1"/>
      <w:numFmt w:val="lowerLetter"/>
      <w:lvlText w:val="."/>
      <w:lvlJc w:val="left"/>
      <w:pPr>
        <w:ind w:left="4949" w:hanging="283"/>
      </w:pPr>
    </w:lvl>
    <w:lvl w:ilvl="7">
      <w:start w:val="1"/>
      <w:numFmt w:val="lowerLetter"/>
      <w:lvlText w:val="."/>
      <w:lvlJc w:val="left"/>
      <w:pPr>
        <w:ind w:left="5656" w:hanging="283"/>
      </w:pPr>
    </w:lvl>
    <w:lvl w:ilvl="8">
      <w:start w:val="1"/>
      <w:numFmt w:val="lowerLetter"/>
      <w:lvlText w:val="."/>
      <w:lvlJc w:val="left"/>
      <w:pPr>
        <w:ind w:left="6363" w:hanging="283"/>
      </w:pPr>
    </w:lvl>
  </w:abstractNum>
  <w:abstractNum w:abstractNumId="6" w15:restartNumberingAfterBreak="0">
    <w:nsid w:val="77EF4C88"/>
    <w:multiLevelType w:val="multilevel"/>
    <w:tmpl w:val="A548664E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726420085">
    <w:abstractNumId w:val="6"/>
  </w:num>
  <w:num w:numId="2" w16cid:durableId="360131609">
    <w:abstractNumId w:val="5"/>
  </w:num>
  <w:num w:numId="3" w16cid:durableId="1482498088">
    <w:abstractNumId w:val="0"/>
  </w:num>
  <w:num w:numId="4" w16cid:durableId="1445806574">
    <w:abstractNumId w:val="4"/>
  </w:num>
  <w:num w:numId="5" w16cid:durableId="1842698904">
    <w:abstractNumId w:val="2"/>
  </w:num>
  <w:num w:numId="6" w16cid:durableId="898128553">
    <w:abstractNumId w:val="3"/>
  </w:num>
  <w:num w:numId="7" w16cid:durableId="321586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20"/>
    <w:rsid w:val="000B2EB9"/>
    <w:rsid w:val="004843E3"/>
    <w:rsid w:val="00520780"/>
    <w:rsid w:val="00566933"/>
    <w:rsid w:val="0066051A"/>
    <w:rsid w:val="00720F20"/>
    <w:rsid w:val="00BC3C3D"/>
    <w:rsid w:val="00C5689B"/>
    <w:rsid w:val="00D7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7DE9"/>
  <w15:chartTrackingRefBased/>
  <w15:docId w15:val="{5C0C35E7-58F9-4451-AC8E-37244BF1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B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F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F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F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F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F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F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F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F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F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F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F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F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F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F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F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F2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B2EB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customStyle="1" w:styleId="Textbody">
    <w:name w:val="Text body"/>
    <w:basedOn w:val="Standard"/>
    <w:rsid w:val="000B2EB9"/>
    <w:pPr>
      <w:spacing w:after="140" w:line="288" w:lineRule="auto"/>
    </w:pPr>
  </w:style>
  <w:style w:type="paragraph" w:customStyle="1" w:styleId="TableContents">
    <w:name w:val="Table Contents"/>
    <w:basedOn w:val="Standard"/>
    <w:rsid w:val="000B2EB9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1363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Majcher</dc:creator>
  <cp:keywords/>
  <dc:description/>
  <cp:lastModifiedBy>Dorota Majcher</cp:lastModifiedBy>
  <cp:revision>6</cp:revision>
  <dcterms:created xsi:type="dcterms:W3CDTF">2026-05-28T09:28:00Z</dcterms:created>
  <dcterms:modified xsi:type="dcterms:W3CDTF">2026-05-28T10:09:00Z</dcterms:modified>
</cp:coreProperties>
</file>