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62D5" w14:textId="77777777" w:rsidR="006514C1" w:rsidRPr="00B65229" w:rsidRDefault="006514C1" w:rsidP="006514C1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B65229">
        <w:rPr>
          <w:rFonts w:ascii="Arial Narrow" w:hAnsi="Arial Narrow"/>
          <w:b/>
          <w:sz w:val="28"/>
          <w:szCs w:val="28"/>
        </w:rPr>
        <w:t>Wójt Gminy Skąpe</w:t>
      </w:r>
    </w:p>
    <w:p w14:paraId="46F27253" w14:textId="77777777" w:rsidR="006514C1" w:rsidRPr="00B65229" w:rsidRDefault="006514C1" w:rsidP="006514C1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65229">
        <w:rPr>
          <w:rFonts w:ascii="Arial Narrow" w:hAnsi="Arial Narrow"/>
          <w:b/>
          <w:bCs/>
          <w:sz w:val="28"/>
          <w:szCs w:val="28"/>
        </w:rPr>
        <w:t xml:space="preserve">OGŁASZA I PRZETARG USTNY NIEOGRANICZONY                                            </w:t>
      </w:r>
    </w:p>
    <w:p w14:paraId="5E18B809" w14:textId="77777777" w:rsidR="006514C1" w:rsidRPr="00B65229" w:rsidRDefault="006514C1" w:rsidP="006514C1">
      <w:pPr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65229">
        <w:rPr>
          <w:rFonts w:ascii="Arial Narrow" w:hAnsi="Arial Narrow"/>
          <w:b/>
          <w:bCs/>
          <w:sz w:val="24"/>
          <w:szCs w:val="24"/>
        </w:rPr>
        <w:t xml:space="preserve">na sprzedaż prawa własności nieruchomości stanowiącej własność Gminy Skąpe   </w:t>
      </w:r>
    </w:p>
    <w:p w14:paraId="7FBBE18E" w14:textId="76EF146C" w:rsidR="006E3364" w:rsidRPr="00B65229" w:rsidRDefault="006E3364" w:rsidP="006E3364">
      <w:pPr>
        <w:pStyle w:val="Podtytu"/>
        <w:ind w:firstLine="708"/>
        <w:rPr>
          <w:rFonts w:ascii="Arial Narrow" w:hAnsi="Arial Narrow"/>
          <w:spacing w:val="0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1251"/>
        <w:gridCol w:w="1490"/>
        <w:gridCol w:w="2459"/>
        <w:gridCol w:w="1842"/>
        <w:gridCol w:w="2265"/>
        <w:gridCol w:w="2058"/>
        <w:gridCol w:w="1998"/>
      </w:tblGrid>
      <w:tr w:rsidR="00685D80" w:rsidRPr="00B65229" w14:paraId="3F743512" w14:textId="7626048B" w:rsidTr="00A95F78">
        <w:trPr>
          <w:jc w:val="center"/>
        </w:trPr>
        <w:tc>
          <w:tcPr>
            <w:tcW w:w="2025" w:type="dxa"/>
          </w:tcPr>
          <w:p w14:paraId="08475A97" w14:textId="7F40798C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Położenie</w:t>
            </w:r>
          </w:p>
        </w:tc>
        <w:tc>
          <w:tcPr>
            <w:tcW w:w="1251" w:type="dxa"/>
          </w:tcPr>
          <w:p w14:paraId="346B07C2" w14:textId="3C14E79D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Numer działki</w:t>
            </w:r>
          </w:p>
        </w:tc>
        <w:tc>
          <w:tcPr>
            <w:tcW w:w="1490" w:type="dxa"/>
          </w:tcPr>
          <w:p w14:paraId="09155A19" w14:textId="2E4D796D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Powierzchnia działki</w:t>
            </w:r>
          </w:p>
        </w:tc>
        <w:tc>
          <w:tcPr>
            <w:tcW w:w="2459" w:type="dxa"/>
          </w:tcPr>
          <w:p w14:paraId="132E228A" w14:textId="6AD5AE70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Numer Księgi Wieczystej</w:t>
            </w:r>
          </w:p>
        </w:tc>
        <w:tc>
          <w:tcPr>
            <w:tcW w:w="1842" w:type="dxa"/>
          </w:tcPr>
          <w:p w14:paraId="6BEFB71C" w14:textId="4B678320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Cena wywoławcza</w:t>
            </w:r>
          </w:p>
        </w:tc>
        <w:tc>
          <w:tcPr>
            <w:tcW w:w="2265" w:type="dxa"/>
          </w:tcPr>
          <w:p w14:paraId="35F1B8A4" w14:textId="57985C1D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Wadium</w:t>
            </w:r>
          </w:p>
        </w:tc>
        <w:tc>
          <w:tcPr>
            <w:tcW w:w="2058" w:type="dxa"/>
          </w:tcPr>
          <w:p w14:paraId="72B56176" w14:textId="759216CF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Termin wniesienia wadium</w:t>
            </w:r>
          </w:p>
        </w:tc>
        <w:tc>
          <w:tcPr>
            <w:tcW w:w="1998" w:type="dxa"/>
          </w:tcPr>
          <w:p w14:paraId="2B8947CD" w14:textId="27A373DC" w:rsidR="009A26E8" w:rsidRPr="00B65229" w:rsidRDefault="009A26E8" w:rsidP="006E3364">
            <w:pPr>
              <w:pStyle w:val="Podtytu"/>
              <w:jc w:val="left"/>
              <w:rPr>
                <w:rFonts w:ascii="Arial Narrow" w:hAnsi="Arial Narrow"/>
                <w:b/>
                <w:bCs/>
                <w:spacing w:val="0"/>
                <w:szCs w:val="24"/>
              </w:rPr>
            </w:pPr>
            <w:r w:rsidRPr="00B65229">
              <w:rPr>
                <w:rFonts w:ascii="Arial Narrow" w:hAnsi="Arial Narrow"/>
                <w:b/>
                <w:bCs/>
                <w:spacing w:val="0"/>
                <w:szCs w:val="24"/>
              </w:rPr>
              <w:t>Termin przetargu</w:t>
            </w:r>
          </w:p>
        </w:tc>
      </w:tr>
      <w:tr w:rsidR="00685D80" w:rsidRPr="00B65229" w14:paraId="68E6BCFC" w14:textId="4C944E53" w:rsidTr="00A95F78">
        <w:trPr>
          <w:jc w:val="center"/>
        </w:trPr>
        <w:tc>
          <w:tcPr>
            <w:tcW w:w="2025" w:type="dxa"/>
            <w:vAlign w:val="center"/>
          </w:tcPr>
          <w:p w14:paraId="617D5693" w14:textId="3F520866" w:rsidR="006E04D5" w:rsidRDefault="006E04D5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Województwo </w:t>
            </w:r>
          </w:p>
          <w:p w14:paraId="49191289" w14:textId="2A5358C4" w:rsidR="006E04D5" w:rsidRDefault="006E04D5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Lubuskie,</w:t>
            </w:r>
          </w:p>
          <w:p w14:paraId="5A810F66" w14:textId="57A6BD97" w:rsidR="006E04D5" w:rsidRDefault="006E04D5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Powiat </w:t>
            </w:r>
          </w:p>
          <w:p w14:paraId="32C436FC" w14:textId="7C5A0A54" w:rsidR="006E04D5" w:rsidRDefault="006E04D5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Świebodziński</w:t>
            </w:r>
          </w:p>
          <w:p w14:paraId="6824B938" w14:textId="4D4C106E" w:rsidR="009A26E8" w:rsidRPr="00822E7D" w:rsidRDefault="006E04D5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 w:rsidRPr="00822E7D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Gmina Skąpe </w:t>
            </w:r>
            <w:r w:rsidR="009A26E8" w:rsidRPr="00822E7D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obręb </w:t>
            </w:r>
            <w:r w:rsidR="005F0222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Ołobok</w:t>
            </w:r>
          </w:p>
        </w:tc>
        <w:tc>
          <w:tcPr>
            <w:tcW w:w="1251" w:type="dxa"/>
            <w:vAlign w:val="center"/>
          </w:tcPr>
          <w:p w14:paraId="63E296B2" w14:textId="31AFC2AE" w:rsidR="009A26E8" w:rsidRPr="00822E7D" w:rsidRDefault="005F0222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97/7</w:t>
            </w:r>
          </w:p>
        </w:tc>
        <w:tc>
          <w:tcPr>
            <w:tcW w:w="1490" w:type="dxa"/>
            <w:vAlign w:val="center"/>
          </w:tcPr>
          <w:p w14:paraId="06BC2673" w14:textId="148EB468" w:rsidR="009A26E8" w:rsidRPr="00822E7D" w:rsidRDefault="005F0222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0,1097 ha</w:t>
            </w:r>
          </w:p>
        </w:tc>
        <w:tc>
          <w:tcPr>
            <w:tcW w:w="2459" w:type="dxa"/>
            <w:vAlign w:val="center"/>
          </w:tcPr>
          <w:p w14:paraId="7B1BBFF2" w14:textId="0FBA9E09" w:rsidR="009A26E8" w:rsidRPr="00822E7D" w:rsidRDefault="009A26E8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 w:rsidRPr="00822E7D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ZG1S/</w:t>
            </w:r>
            <w:r w:rsidR="005F0222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00016077/4</w:t>
            </w:r>
          </w:p>
        </w:tc>
        <w:tc>
          <w:tcPr>
            <w:tcW w:w="1842" w:type="dxa"/>
            <w:vAlign w:val="center"/>
          </w:tcPr>
          <w:p w14:paraId="729FB3A0" w14:textId="43526994" w:rsidR="009A26E8" w:rsidRPr="00822E7D" w:rsidRDefault="005F0222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90.000,00 zł netto</w:t>
            </w:r>
          </w:p>
        </w:tc>
        <w:tc>
          <w:tcPr>
            <w:tcW w:w="2265" w:type="dxa"/>
            <w:vAlign w:val="center"/>
          </w:tcPr>
          <w:p w14:paraId="1E7660AF" w14:textId="47D6F0F2" w:rsidR="009A26E8" w:rsidRPr="00822E7D" w:rsidRDefault="005F0222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9.000,00 zł</w:t>
            </w:r>
            <w:r w:rsidR="009A26E8" w:rsidRPr="00822E7D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9A26E8" w:rsidRPr="00822E7D">
              <w:rPr>
                <w:rFonts w:ascii="Arial Narrow" w:hAnsi="Arial Narrow"/>
                <w:i w:val="0"/>
                <w:iCs/>
                <w:spacing w:val="0"/>
                <w:sz w:val="32"/>
                <w:szCs w:val="32"/>
              </w:rPr>
              <w:t>w pieniądzu</w:t>
            </w:r>
          </w:p>
        </w:tc>
        <w:tc>
          <w:tcPr>
            <w:tcW w:w="2058" w:type="dxa"/>
            <w:vAlign w:val="center"/>
          </w:tcPr>
          <w:p w14:paraId="5BB97A56" w14:textId="6D271373" w:rsidR="009A26E8" w:rsidRPr="00822E7D" w:rsidRDefault="00375657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color w:val="FF0000"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25.04.2023</w:t>
            </w:r>
          </w:p>
        </w:tc>
        <w:tc>
          <w:tcPr>
            <w:tcW w:w="1998" w:type="dxa"/>
            <w:vAlign w:val="center"/>
          </w:tcPr>
          <w:p w14:paraId="4EBAAE20" w14:textId="77777777" w:rsidR="009A26E8" w:rsidRDefault="00375657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28.04.2023</w:t>
            </w:r>
            <w:r w:rsidR="000C3222"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 xml:space="preserve"> o godz. 10:00</w:t>
            </w:r>
          </w:p>
          <w:p w14:paraId="708DB199" w14:textId="62F5DA8C" w:rsidR="000C3222" w:rsidRPr="00822E7D" w:rsidRDefault="000C3222" w:rsidP="00822E7D">
            <w:pPr>
              <w:pStyle w:val="Podtytu"/>
              <w:jc w:val="center"/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pacing w:val="0"/>
                <w:sz w:val="32"/>
                <w:szCs w:val="32"/>
              </w:rPr>
              <w:t>Sala Sesyjna Urzędu Gminy Skąpe</w:t>
            </w:r>
          </w:p>
        </w:tc>
      </w:tr>
    </w:tbl>
    <w:p w14:paraId="7DB17247" w14:textId="77777777" w:rsidR="006E3364" w:rsidRPr="00B65229" w:rsidRDefault="006E3364" w:rsidP="006E3364">
      <w:pPr>
        <w:pStyle w:val="Podtytu"/>
        <w:jc w:val="left"/>
        <w:rPr>
          <w:rFonts w:ascii="Arial Narrow" w:hAnsi="Arial Narrow"/>
          <w:spacing w:val="0"/>
          <w:sz w:val="20"/>
        </w:rPr>
      </w:pPr>
    </w:p>
    <w:p w14:paraId="2D865CFA" w14:textId="27B9060C" w:rsidR="00B65229" w:rsidRPr="00AC3F71" w:rsidRDefault="007C5B17" w:rsidP="00B65229">
      <w:pPr>
        <w:spacing w:line="276" w:lineRule="auto"/>
        <w:rPr>
          <w:rFonts w:ascii="Arial Narrow" w:hAnsi="Arial Narrow"/>
        </w:rPr>
      </w:pPr>
      <w:r w:rsidRPr="00AC3F71">
        <w:rPr>
          <w:rFonts w:ascii="Arial Narrow" w:hAnsi="Arial Narrow"/>
        </w:rPr>
        <w:t>W dziale I-</w:t>
      </w:r>
      <w:proofErr w:type="spellStart"/>
      <w:r w:rsidRPr="00AC3F71">
        <w:rPr>
          <w:rFonts w:ascii="Arial Narrow" w:hAnsi="Arial Narrow"/>
        </w:rPr>
        <w:t>Sp</w:t>
      </w:r>
      <w:proofErr w:type="spellEnd"/>
      <w:r w:rsidRPr="00AC3F71">
        <w:rPr>
          <w:rFonts w:ascii="Arial Narrow" w:hAnsi="Arial Narrow"/>
        </w:rPr>
        <w:t xml:space="preserve"> </w:t>
      </w:r>
      <w:r w:rsidR="00330A66" w:rsidRPr="00AC3F71">
        <w:rPr>
          <w:rFonts w:ascii="Arial Narrow" w:hAnsi="Arial Narrow"/>
        </w:rPr>
        <w:t xml:space="preserve">Księgi Wieczystej Spis wpraw związanych z własnością wpis: KAŻDOCZESNYM WŁAŚCICIELOM I WSPÓŁWŁAŚCICIELOM DZIAŁKI NR 97/4 </w:t>
      </w:r>
      <w:r w:rsidR="00AC3F71">
        <w:rPr>
          <w:rFonts w:ascii="Arial Narrow" w:hAnsi="Arial Narrow"/>
        </w:rPr>
        <w:t>(przed podziałem)</w:t>
      </w:r>
      <w:r w:rsidR="00375657">
        <w:rPr>
          <w:rFonts w:ascii="Arial Narrow" w:hAnsi="Arial Narrow"/>
        </w:rPr>
        <w:t xml:space="preserve"> </w:t>
      </w:r>
      <w:r w:rsidR="00330A66" w:rsidRPr="00AC3F71">
        <w:rPr>
          <w:rFonts w:ascii="Arial Narrow" w:hAnsi="Arial Narrow"/>
        </w:rPr>
        <w:t>OBJĘTEJ NINIEJSZĄ KSIĘGĄ WIECZYSTĄ PRZYSŁUGUJUE NIEODPŁATNA I NA CZAS NIEOZNACZONY SŁUŻEBNOŚĆ GRUNTOWA POLEGAJĄCA NA PRAWIE PRZEJŚCIA I PRZEJAZDU PRZEZ DZIAŁKĘ NR 97/3, OBJĘTA KSIĘGĄ WIECZYSTĄ KW. NR ZG1S/00021848/8</w:t>
      </w:r>
    </w:p>
    <w:p w14:paraId="31DF6EE0" w14:textId="74243EB3" w:rsidR="00E81113" w:rsidRPr="00AC3F71" w:rsidRDefault="00E81113" w:rsidP="00E81113">
      <w:pPr>
        <w:jc w:val="both"/>
        <w:rPr>
          <w:rFonts w:ascii="Arial Narrow" w:hAnsi="Arial Narrow"/>
          <w:b/>
          <w:bCs/>
        </w:rPr>
      </w:pPr>
      <w:r w:rsidRPr="00AC3F71">
        <w:rPr>
          <w:rFonts w:ascii="Arial Narrow" w:hAnsi="Arial Narrow"/>
          <w:b/>
          <w:bCs/>
        </w:rPr>
        <w:t>Sposób zagospodarowania nieruchomości:</w:t>
      </w:r>
    </w:p>
    <w:p w14:paraId="34D9530F" w14:textId="04F35857" w:rsidR="006E3364" w:rsidRPr="00AC3F71" w:rsidRDefault="00E81113" w:rsidP="00E81113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Nieruchomość gruntowa zabudowana</w:t>
      </w:r>
      <w:r w:rsidR="00AC3F71">
        <w:rPr>
          <w:rFonts w:ascii="Arial Narrow" w:hAnsi="Arial Narrow"/>
        </w:rPr>
        <w:t xml:space="preserve"> 4 budynkami gospodarczymi i 2 wiatami</w:t>
      </w:r>
      <w:r w:rsidR="00375657">
        <w:rPr>
          <w:rFonts w:ascii="Arial Narrow" w:hAnsi="Arial Narrow"/>
        </w:rPr>
        <w:t xml:space="preserve"> po starej masarni w Ołoboku.</w:t>
      </w:r>
      <w:r w:rsidR="00AC3F71">
        <w:rPr>
          <w:rFonts w:ascii="Arial Narrow" w:hAnsi="Arial Narrow"/>
        </w:rPr>
        <w:t xml:space="preserve"> </w:t>
      </w:r>
    </w:p>
    <w:p w14:paraId="2CDF17DD" w14:textId="7316D4D3" w:rsidR="00E81113" w:rsidRPr="00AC3F71" w:rsidRDefault="00E81113" w:rsidP="00E81113">
      <w:pPr>
        <w:jc w:val="both"/>
        <w:rPr>
          <w:rFonts w:ascii="Arial Narrow" w:hAnsi="Arial Narrow"/>
          <w:b/>
          <w:bCs/>
        </w:rPr>
      </w:pPr>
      <w:r w:rsidRPr="00AC3F71">
        <w:rPr>
          <w:rFonts w:ascii="Arial Narrow" w:hAnsi="Arial Narrow"/>
          <w:b/>
          <w:bCs/>
        </w:rPr>
        <w:t>Opis nieruchomości:</w:t>
      </w:r>
    </w:p>
    <w:p w14:paraId="3335D9EB" w14:textId="4EDE0E13" w:rsidR="00E5292B" w:rsidRPr="00AC3F71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Nieruchomość </w:t>
      </w:r>
      <w:r w:rsidR="00620C22">
        <w:rPr>
          <w:rFonts w:ascii="Arial Narrow" w:hAnsi="Arial Narrow"/>
        </w:rPr>
        <w:t xml:space="preserve">gruntowa </w:t>
      </w:r>
      <w:r w:rsidRPr="00AC3F71">
        <w:rPr>
          <w:rFonts w:ascii="Arial Narrow" w:hAnsi="Arial Narrow"/>
        </w:rPr>
        <w:t xml:space="preserve">zabudowana położona w strefie zabudowy w m. Ołobok, ok. 9 km od miasta Świebodzin. Sąsiedztwo przedmiotu wyceny stanowi zabudowa mieszkalna jednorodzinna typu siedliskowego, szkoła podstawowa, sklep. Pośredni dostęp do drogi publicznej o nawierzchni bitumicznej poprzez działkę nr 97/3 (zapis w dziale I – </w:t>
      </w:r>
      <w:proofErr w:type="spellStart"/>
      <w:r w:rsidRPr="00AC3F71">
        <w:rPr>
          <w:rFonts w:ascii="Arial Narrow" w:hAnsi="Arial Narrow"/>
        </w:rPr>
        <w:t>Sp</w:t>
      </w:r>
      <w:proofErr w:type="spellEnd"/>
      <w:r w:rsidRPr="00AC3F71">
        <w:rPr>
          <w:rFonts w:ascii="Arial Narrow" w:hAnsi="Arial Narrow"/>
        </w:rPr>
        <w:t xml:space="preserve"> Księgi Wieczystej Każdoczesnym właścicielom i współwłaścicielom działki nr 97/4 (przed podziałem) przysługuje nieodpłatna i na czas nieoznaczony służebność gruntowa polegająca na prawie przejścia i przejazdu przez działkę 97/3 obręb Ołobok)</w:t>
      </w:r>
    </w:p>
    <w:p w14:paraId="33F5EB88" w14:textId="77777777" w:rsidR="00E5292B" w:rsidRPr="00AC3F71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Kształt działki nieregularny, rzeźba terenu płaska, działka ogrodzona. Działka jest częściowo utwardzona. </w:t>
      </w:r>
    </w:p>
    <w:p w14:paraId="113A4066" w14:textId="02C548F9" w:rsidR="00AC3F71" w:rsidRPr="00AC3F71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Stan zainwestowania nieruchomo: cztery budynki gospodarcze oraz dwie wiaty.</w:t>
      </w:r>
    </w:p>
    <w:p w14:paraId="12AD8983" w14:textId="77777777" w:rsidR="00E5292B" w:rsidRPr="00AC3F71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Opis budynków i budowli:</w:t>
      </w:r>
    </w:p>
    <w:p w14:paraId="2681290E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Wiata stalowa z wędzarnią – obiekt jednokondygnacyjny przylegający do budynku gospodarczego dwukondygnacyjnego, ściany wędzarni murowane z cegły, więźba dachowa drewniana, konstrukcja wiaty stalowa kryta płytą falistą. Brak instalacji technicznych. Stan techniczny zły. Pow. zabudowy 53 m</w:t>
      </w:r>
      <w:r w:rsidRPr="00AC3F71">
        <w:rPr>
          <w:rFonts w:ascii="Arial Narrow" w:hAnsi="Arial Narrow"/>
          <w:vertAlign w:val="superscript"/>
        </w:rPr>
        <w:t>2</w:t>
      </w:r>
      <w:r w:rsidRPr="00AC3F71">
        <w:rPr>
          <w:rFonts w:ascii="Arial Narrow" w:hAnsi="Arial Narrow"/>
        </w:rPr>
        <w:t xml:space="preserve">.  </w:t>
      </w:r>
    </w:p>
    <w:p w14:paraId="4410B5FC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Budynek gospodarczy – budynek po byłej rzeźni wybudowany w 1939 r. w zabudowie zwartej, dwukondygnacyjny, częściowo jednokondygnacyjny, ściany murowane z cegły, więźba dachowa drewniana, dach dwuspadowy kryty dachówką typu karpiówka. Stolarka drzwi i okien typu inwentarskiego. Brak instalacji technicznych. Stan techniczny przeciętny. Powierzchnia zabudowy 223 m</w:t>
      </w:r>
      <w:r w:rsidRPr="00AC3F71">
        <w:rPr>
          <w:rFonts w:ascii="Arial Narrow" w:hAnsi="Arial Narrow"/>
          <w:vertAlign w:val="superscript"/>
        </w:rPr>
        <w:t xml:space="preserve">2 </w:t>
      </w:r>
      <w:r w:rsidRPr="00AC3F71">
        <w:rPr>
          <w:rFonts w:ascii="Arial Narrow" w:hAnsi="Arial Narrow"/>
        </w:rPr>
        <w:t xml:space="preserve"> </w:t>
      </w:r>
    </w:p>
    <w:p w14:paraId="50224B5A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Budynek gospodarczy – w zabudowie zwartej, jednokondygnacyjny, ściany murowane z bloczków gazobetonowych. Stolarka drzwi i okien typu inwentarskiego. Brak instalacji technicznych. Stan techniczny zły. Powierzchnia zabudowy 35m</w:t>
      </w:r>
      <w:proofErr w:type="gramStart"/>
      <w:r w:rsidRPr="00AC3F71">
        <w:rPr>
          <w:rFonts w:ascii="Arial Narrow" w:hAnsi="Arial Narrow"/>
          <w:vertAlign w:val="superscript"/>
        </w:rPr>
        <w:t xml:space="preserve">2 </w:t>
      </w:r>
      <w:r w:rsidRPr="00AC3F71">
        <w:rPr>
          <w:rFonts w:ascii="Arial Narrow" w:hAnsi="Arial Narrow"/>
        </w:rPr>
        <w:t>.</w:t>
      </w:r>
      <w:proofErr w:type="gramEnd"/>
    </w:p>
    <w:p w14:paraId="4EB1AE7C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Wiata drewniana – Obiekt przylega do budynku gospodarczego dwukondygnacyjnego, wiata konstrukcji drewnianej kryta płytami eternitu. Brak instalacji technicznych. Stan techniczny zły. Powierzchnia zabudowy 32 m</w:t>
      </w:r>
      <w:proofErr w:type="gramStart"/>
      <w:r w:rsidRPr="00AC3F71">
        <w:rPr>
          <w:rFonts w:ascii="Arial Narrow" w:hAnsi="Arial Narrow"/>
          <w:vertAlign w:val="superscript"/>
        </w:rPr>
        <w:t xml:space="preserve">2 </w:t>
      </w:r>
      <w:r w:rsidRPr="00AC3F71">
        <w:rPr>
          <w:rFonts w:ascii="Arial Narrow" w:hAnsi="Arial Narrow"/>
        </w:rPr>
        <w:t>.</w:t>
      </w:r>
      <w:proofErr w:type="gramEnd"/>
    </w:p>
    <w:p w14:paraId="117FAF61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Budynek gospodarczy – w zabudowie zwartej (rok budowy 1939), jednokondygnacyjny, ściany murowane z cegły, posadzka betonowa, brak stropu pośredniego oraz stropu dachowego. Stan techniczny zły. Powierzchnia zabudowy 67 m</w:t>
      </w:r>
      <w:r w:rsidRPr="00AC3F71">
        <w:rPr>
          <w:rFonts w:ascii="Arial Narrow" w:hAnsi="Arial Narrow"/>
          <w:vertAlign w:val="superscript"/>
        </w:rPr>
        <w:t>2,</w:t>
      </w:r>
    </w:p>
    <w:p w14:paraId="6A77D807" w14:textId="77777777" w:rsidR="00E5292B" w:rsidRPr="00AC3F71" w:rsidRDefault="00E5292B" w:rsidP="00E5292B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Budynek gospodarczy – w zabudowie wolnostojącej jednokondygnacyjny, ściany murowane z cegły kratówki, strop dachowy drewniany jednospadowy, kryty płytami eternitowymi, posadzka betonowa, stan techniczny zły. Powierzchnia zabudowy 15 m</w:t>
      </w:r>
      <w:proofErr w:type="gramStart"/>
      <w:r w:rsidRPr="00AC3F71">
        <w:rPr>
          <w:rFonts w:ascii="Arial Narrow" w:hAnsi="Arial Narrow"/>
          <w:vertAlign w:val="superscript"/>
        </w:rPr>
        <w:t>2 .</w:t>
      </w:r>
      <w:proofErr w:type="gramEnd"/>
    </w:p>
    <w:p w14:paraId="12A782CD" w14:textId="77777777" w:rsidR="00E5292B" w:rsidRPr="00AC3F71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Budynki od wielu lat są nieużytkowne</w:t>
      </w:r>
      <w:r w:rsidRPr="00AC3F71">
        <w:rPr>
          <w:rFonts w:ascii="Arial Narrow" w:hAnsi="Arial Narrow"/>
          <w:vertAlign w:val="superscript"/>
        </w:rPr>
        <w:t xml:space="preserve">, </w:t>
      </w:r>
      <w:r w:rsidRPr="00AC3F71">
        <w:rPr>
          <w:rFonts w:ascii="Arial Narrow" w:hAnsi="Arial Narrow"/>
        </w:rPr>
        <w:t xml:space="preserve">drewniana konstrukcja więźby dachowej zniszczona przez nieszczelne pokrycie dachowe, na ścianach widoczne są rozwarstwienia warstw farby i tynków oraz zniszczenia spowodowane wysoleniem. W przypadku przyszłych działań inwestycyjnych inwestor winien uwzględnić uwarunkowania związane z historycznym usytuowaniem oraz formą uksztaltowania bryły ww. budynków w stosunku do nowej zabudowy. </w:t>
      </w:r>
    </w:p>
    <w:p w14:paraId="4DEFA22E" w14:textId="3F51A86C" w:rsidR="00E5292B" w:rsidRPr="00AC3F71" w:rsidRDefault="00E5292B" w:rsidP="00E5292B">
      <w:pPr>
        <w:jc w:val="both"/>
        <w:rPr>
          <w:rFonts w:ascii="Arial Narrow" w:hAnsi="Arial Narrow"/>
          <w:b/>
          <w:bCs/>
        </w:rPr>
      </w:pPr>
      <w:r w:rsidRPr="00AC3F71">
        <w:rPr>
          <w:rFonts w:ascii="Arial Narrow" w:hAnsi="Arial Narrow"/>
        </w:rPr>
        <w:t>Pismem z dnia 04.10.2021 r. Lubuski Wojewódzki Konserwator Zabytków w Zielonej Górze wyraził zgodę na rozbiórkę.</w:t>
      </w:r>
    </w:p>
    <w:p w14:paraId="0C5AE148" w14:textId="78FE5BBA" w:rsidR="004416DD" w:rsidRPr="00AC3F71" w:rsidRDefault="004416DD" w:rsidP="004416DD">
      <w:pPr>
        <w:rPr>
          <w:rFonts w:ascii="Arial Narrow" w:hAnsi="Arial Narrow"/>
          <w:b/>
          <w:bCs/>
        </w:rPr>
      </w:pPr>
      <w:r w:rsidRPr="00AC3F71">
        <w:rPr>
          <w:rFonts w:ascii="Arial Narrow" w:hAnsi="Arial Narrow"/>
          <w:b/>
          <w:bCs/>
        </w:rPr>
        <w:t>Przeznaczenie nieruchomości:</w:t>
      </w:r>
    </w:p>
    <w:p w14:paraId="158142BA" w14:textId="292BDDD8" w:rsidR="004416DD" w:rsidRPr="00AC3F71" w:rsidRDefault="004416DD" w:rsidP="004416DD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Zgodnie ze studium uwarunkowań i kierunków zagospodarowania przestrzennego Gminy Skąpe zatwierdzone Uchwałą Rady Gminy Skąpe nr XXXVII/204/02 </w:t>
      </w:r>
      <w:r w:rsidRPr="00AC3F71">
        <w:rPr>
          <w:rFonts w:ascii="Arial Narrow" w:hAnsi="Arial Narrow"/>
        </w:rPr>
        <w:br/>
        <w:t>z dnia 30 września 2002 r. zmienione Uchwałą Rady Gminy Skąpe nr X/58/2011 z dnia 22 czerwca 2011 r., zmienione uchwałą Rady Gminy Skąpe Nr XXXVI/305/2021 z dnia 24 września 2021r., nieruchomość znajduje się częściowo w strefie osadnictwa wiejskiego</w:t>
      </w:r>
      <w:r w:rsidR="00E5292B" w:rsidRPr="00AC3F71">
        <w:rPr>
          <w:rFonts w:ascii="Arial Narrow" w:hAnsi="Arial Narrow"/>
        </w:rPr>
        <w:t>.</w:t>
      </w:r>
    </w:p>
    <w:p w14:paraId="6A9308A4" w14:textId="25BF7304" w:rsidR="00375657" w:rsidRPr="00375657" w:rsidRDefault="00E5292B" w:rsidP="00E5292B">
      <w:pPr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Pismem z dnia 04.10.2021 r. Lubuski Wojewódzki Konserwator Zabytków w Zielonej Górze wyraził zgodę na rozbiórkę.</w:t>
      </w:r>
    </w:p>
    <w:p w14:paraId="39736EAE" w14:textId="12EA7207" w:rsidR="00C35467" w:rsidRPr="00AC3F71" w:rsidRDefault="00C35467" w:rsidP="00B96878">
      <w:pPr>
        <w:spacing w:after="0"/>
        <w:jc w:val="both"/>
        <w:rPr>
          <w:rFonts w:ascii="Arial Narrow" w:hAnsi="Arial Narrow"/>
          <w:b/>
        </w:rPr>
      </w:pPr>
      <w:r w:rsidRPr="00AC3F71">
        <w:rPr>
          <w:rFonts w:ascii="Arial Narrow" w:hAnsi="Arial Narrow"/>
          <w:b/>
        </w:rPr>
        <w:t xml:space="preserve">Licytacji podlega cena nieruchomości netto. </w:t>
      </w:r>
    </w:p>
    <w:p w14:paraId="09F0147D" w14:textId="3A8D63FD" w:rsidR="00B96878" w:rsidRPr="00AC3F71" w:rsidRDefault="00B96878" w:rsidP="00B96878">
      <w:pPr>
        <w:spacing w:after="0"/>
        <w:jc w:val="both"/>
        <w:rPr>
          <w:rFonts w:ascii="Arial Narrow" w:hAnsi="Arial Narrow"/>
          <w:b/>
          <w:bCs/>
        </w:rPr>
      </w:pPr>
      <w:r w:rsidRPr="00AC3F71">
        <w:rPr>
          <w:rFonts w:ascii="Arial Narrow" w:hAnsi="Arial Narrow"/>
          <w:b/>
          <w:bCs/>
        </w:rPr>
        <w:t xml:space="preserve">Zgodnie z art. 43 ust.1 pkt 10 ustawy z dnia 11 marca 2004 r. o podatku od towarów i usług (Dz. U. z 2022 poz.196 z </w:t>
      </w:r>
      <w:proofErr w:type="spellStart"/>
      <w:r w:rsidRPr="00AC3F71">
        <w:rPr>
          <w:rFonts w:ascii="Arial Narrow" w:hAnsi="Arial Narrow"/>
          <w:b/>
          <w:bCs/>
        </w:rPr>
        <w:t>późn</w:t>
      </w:r>
      <w:proofErr w:type="spellEnd"/>
      <w:r w:rsidRPr="00AC3F71">
        <w:rPr>
          <w:rFonts w:ascii="Arial Narrow" w:hAnsi="Arial Narrow"/>
          <w:b/>
          <w:bCs/>
        </w:rPr>
        <w:t>. zm.) nieruchomość zwolniona jest od naliczania</w:t>
      </w:r>
      <w:r w:rsidR="00C35467" w:rsidRPr="00AC3F71">
        <w:rPr>
          <w:rFonts w:ascii="Arial Narrow" w:hAnsi="Arial Narrow"/>
          <w:b/>
          <w:bCs/>
        </w:rPr>
        <w:t xml:space="preserve"> podatku VAT.</w:t>
      </w:r>
    </w:p>
    <w:p w14:paraId="5D41A40B" w14:textId="77777777" w:rsidR="00E5292B" w:rsidRPr="00AC3F71" w:rsidRDefault="00E5292B" w:rsidP="00B96878">
      <w:pPr>
        <w:spacing w:after="0"/>
        <w:jc w:val="both"/>
        <w:rPr>
          <w:rFonts w:ascii="Arial Narrow" w:hAnsi="Arial Narrow"/>
          <w:b/>
          <w:bCs/>
        </w:rPr>
      </w:pPr>
    </w:p>
    <w:p w14:paraId="78CB25EF" w14:textId="7E961343" w:rsidR="00C35467" w:rsidRPr="00AC3F71" w:rsidRDefault="00C35467" w:rsidP="00C35467">
      <w:pPr>
        <w:spacing w:line="276" w:lineRule="auto"/>
        <w:jc w:val="both"/>
        <w:rPr>
          <w:rFonts w:ascii="Arial Narrow" w:hAnsi="Arial Narrow"/>
          <w:b/>
        </w:rPr>
      </w:pPr>
      <w:r w:rsidRPr="00AC3F71">
        <w:rPr>
          <w:rFonts w:ascii="Arial Narrow" w:hAnsi="Arial Narrow"/>
          <w:b/>
        </w:rPr>
        <w:t>Warunkiem przystąpienia do przetargu, który odbędzie się w Sali sesyjnej Urzędu Gminy Skąpe jest m.in.:</w:t>
      </w:r>
    </w:p>
    <w:p w14:paraId="247B4ADF" w14:textId="41BBD91C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  <w:b/>
        </w:rPr>
        <w:t xml:space="preserve">- wniesienie wadium, </w:t>
      </w:r>
      <w:r w:rsidRPr="00AC3F71">
        <w:rPr>
          <w:rFonts w:ascii="Arial Narrow" w:hAnsi="Arial Narrow"/>
        </w:rPr>
        <w:t>które należy wpłacić na rachunek Urzędu Gminy w Skąpem</w:t>
      </w:r>
      <w:r w:rsidRPr="00AC3F71">
        <w:rPr>
          <w:rFonts w:ascii="Arial Narrow" w:hAnsi="Arial Narrow"/>
          <w:b/>
        </w:rPr>
        <w:t xml:space="preserve"> Nr 69 1020 5402 0000 0502 0027 8903 w PKO BP S.A. Świebodzin, </w:t>
      </w:r>
      <w:r w:rsidRPr="00AC3F71">
        <w:rPr>
          <w:rFonts w:ascii="Arial Narrow" w:hAnsi="Arial Narrow"/>
        </w:rPr>
        <w:t xml:space="preserve">w takim terminie, aby najpóźniej w dniu </w:t>
      </w:r>
      <w:r w:rsidR="00375657" w:rsidRPr="00375657">
        <w:rPr>
          <w:rFonts w:ascii="Arial Narrow" w:hAnsi="Arial Narrow"/>
        </w:rPr>
        <w:t>25</w:t>
      </w:r>
      <w:r w:rsidR="00822E7D" w:rsidRPr="00375657">
        <w:rPr>
          <w:rFonts w:ascii="Arial Narrow" w:hAnsi="Arial Narrow"/>
        </w:rPr>
        <w:t>.0</w:t>
      </w:r>
      <w:r w:rsidR="00375657" w:rsidRPr="00375657">
        <w:rPr>
          <w:rFonts w:ascii="Arial Narrow" w:hAnsi="Arial Narrow"/>
        </w:rPr>
        <w:t>4</w:t>
      </w:r>
      <w:r w:rsidR="00822E7D" w:rsidRPr="00375657">
        <w:rPr>
          <w:rFonts w:ascii="Arial Narrow" w:hAnsi="Arial Narrow"/>
        </w:rPr>
        <w:t>.</w:t>
      </w:r>
      <w:r w:rsidRPr="00375657">
        <w:rPr>
          <w:rFonts w:ascii="Arial Narrow" w:hAnsi="Arial Narrow"/>
        </w:rPr>
        <w:t>2023 r.</w:t>
      </w:r>
      <w:r w:rsidRPr="00AC3F71">
        <w:rPr>
          <w:rFonts w:ascii="Arial Narrow" w:hAnsi="Arial Narrow"/>
          <w:b/>
        </w:rPr>
        <w:t xml:space="preserve"> </w:t>
      </w:r>
      <w:r w:rsidRPr="00AC3F71">
        <w:rPr>
          <w:rFonts w:ascii="Arial Narrow" w:hAnsi="Arial Narrow"/>
        </w:rPr>
        <w:t xml:space="preserve">wymagana kwota znajdowała się na ww. koncie, (w tytule przelewu należy jednoznacznie wskazać: </w:t>
      </w:r>
      <w:r w:rsidRPr="00AC3F71">
        <w:rPr>
          <w:rFonts w:ascii="Arial Narrow" w:hAnsi="Arial Narrow"/>
          <w:b/>
          <w:u w:val="single"/>
        </w:rPr>
        <w:t>uczestnika przetargu oraz nr działki, na którą wpłaca się wadium</w:t>
      </w:r>
      <w:r w:rsidRPr="00AC3F71">
        <w:rPr>
          <w:rFonts w:ascii="Arial Narrow" w:hAnsi="Arial Narrow"/>
        </w:rPr>
        <w:t xml:space="preserve">). </w:t>
      </w:r>
    </w:p>
    <w:p w14:paraId="28F40908" w14:textId="77777777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- Osoba fizyczna (w tym prowadząca działalność gospodarczą) zamierzająca uczestniczyć w przetargu musi okazać dowód wpłaty wadium, dowód osobisty lub paszport oraz oświadczenie współmałżonka (jeśli dotyczy) zawierające zgodę na uczestnictwo w przetargu w celu odpłatnego nabycia nieruchomości. </w:t>
      </w:r>
    </w:p>
    <w:p w14:paraId="350B3E57" w14:textId="74216E74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- W przypadku osób prawnych oraz jednostek organizacyjnych nieposiadających osobowości prawnej, a podlegających rejestracji – aktualny odpisy rejestru, właściwe pełnomocnictwa, dowód tożsamości osób reprezentujących podmiot. Odpis z rejestru winien być datowany nie później niż 3 miesiące przed datą przetargu, a jego aktualność potwierdzona przez reprezentanta podmiotu. </w:t>
      </w:r>
    </w:p>
    <w:p w14:paraId="0B635F8F" w14:textId="77777777" w:rsidR="00C35467" w:rsidRPr="00AC3F71" w:rsidRDefault="00C35467" w:rsidP="00C35467">
      <w:pPr>
        <w:spacing w:line="276" w:lineRule="auto"/>
        <w:jc w:val="both"/>
        <w:rPr>
          <w:rFonts w:ascii="Arial Narrow" w:hAnsi="Arial Narrow"/>
          <w:b/>
        </w:rPr>
      </w:pPr>
      <w:r w:rsidRPr="00AC3F71">
        <w:rPr>
          <w:rFonts w:ascii="Arial Narrow" w:hAnsi="Arial Narrow"/>
          <w:b/>
        </w:rPr>
        <w:t xml:space="preserve">Uczestnicy biorą udział w przetargu osobiście lub przez pełnomocnika. Pełnomocnictwo wymaga formy pisemnej. </w:t>
      </w:r>
    </w:p>
    <w:p w14:paraId="7E559D27" w14:textId="77777777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Wpłacone wadium zostanie zwrócone osobom, które nie wygrały przetargu do trzech dni po jego zakończeniu. Wadium wpłacone przez uczestnika, który przetarg wygrał, zalicza się na poczet ceny nabycia nieruchomości. W ciągu 21 dni od dnia rozstrzygnięcia przetargu Wójt Gminy powiadomi osobę </w:t>
      </w:r>
      <w:proofErr w:type="gramStart"/>
      <w:r w:rsidRPr="00AC3F71">
        <w:rPr>
          <w:rFonts w:ascii="Arial Narrow" w:hAnsi="Arial Narrow"/>
        </w:rPr>
        <w:t>ustaloną,</w:t>
      </w:r>
      <w:proofErr w:type="gramEnd"/>
      <w:r w:rsidRPr="00AC3F71">
        <w:rPr>
          <w:rFonts w:ascii="Arial Narrow" w:hAnsi="Arial Narrow"/>
        </w:rPr>
        <w:t xml:space="preserve"> jako nabywcę nieruchomości o miejscu i terminie zawarcia umowy sprzedaży, w przypadku niestawienia się nabywcy bez usprawiedliwienia w miejscu i terminie wyznaczonym w zawiadomieniu, Wójt Gminy odstąpi od zawarcia umowy, a wpłacone wadium nie będzie podlegało zwrotowi. </w:t>
      </w:r>
    </w:p>
    <w:p w14:paraId="357AE7D1" w14:textId="04BD531A" w:rsidR="00C35467" w:rsidRPr="00AC3F71" w:rsidRDefault="00C35467" w:rsidP="00537507">
      <w:pPr>
        <w:spacing w:line="276" w:lineRule="auto"/>
        <w:jc w:val="both"/>
        <w:rPr>
          <w:rFonts w:ascii="Arial Narrow" w:hAnsi="Arial Narrow"/>
          <w:b/>
        </w:rPr>
      </w:pPr>
      <w:r w:rsidRPr="00AC3F71">
        <w:rPr>
          <w:rFonts w:ascii="Arial Narrow" w:hAnsi="Arial Narrow"/>
        </w:rPr>
        <w:lastRenderedPageBreak/>
        <w:t xml:space="preserve">Nabywca zobowiązany jest zapłacić osiągniętą w przetargu cenę sprzedaży nieruchomości nie później niż do dnia zawarcia umowy notarialnej. </w:t>
      </w:r>
      <w:r w:rsidRPr="00AC3F71">
        <w:rPr>
          <w:rFonts w:ascii="Arial Narrow" w:hAnsi="Arial Narrow"/>
          <w:b/>
        </w:rPr>
        <w:t>Przed przystąpieniem do przetargu należy zapoznać się z dokumentacją dotyczącą nieruchomości.</w:t>
      </w:r>
      <w:r w:rsidRPr="00AC3F71">
        <w:rPr>
          <w:rFonts w:ascii="Arial Narrow" w:hAnsi="Arial Narrow"/>
        </w:rPr>
        <w:t xml:space="preserve"> </w:t>
      </w:r>
      <w:r w:rsidR="00537507" w:rsidRPr="00AC3F71">
        <w:rPr>
          <w:rFonts w:ascii="Arial Narrow" w:hAnsi="Arial Narrow"/>
          <w:b/>
        </w:rPr>
        <w:t>Nieruchomość zbywana jest na podstawie danych z ewidencji gruntów i budynków. W przypadku wznowienia granic, wykonanego na koszt i staraniem nabywcy – Gmina nie bierze odpowiedzialności za ewentualne różnice.</w:t>
      </w:r>
    </w:p>
    <w:p w14:paraId="471C0023" w14:textId="78E6CE4E" w:rsidR="00C35467" w:rsidRPr="00AC3F71" w:rsidRDefault="00C35467" w:rsidP="00C35467">
      <w:pPr>
        <w:spacing w:line="276" w:lineRule="auto"/>
        <w:jc w:val="both"/>
        <w:rPr>
          <w:rFonts w:ascii="Arial Narrow" w:hAnsi="Arial Narrow"/>
          <w:color w:val="FF0000"/>
        </w:rPr>
      </w:pPr>
      <w:r w:rsidRPr="00AC3F71">
        <w:rPr>
          <w:rFonts w:ascii="Arial Narrow" w:hAnsi="Arial Narrow"/>
        </w:rPr>
        <w:t>Na nabywcy spoczywa obowiązek podatkowy wynikający z ustawy z dnia 12 stycznia 1991 r. o podatkach i opłatach lokalnych (Dz. U. z 20</w:t>
      </w:r>
      <w:r w:rsidR="00F02F7A" w:rsidRPr="00AC3F71">
        <w:rPr>
          <w:rFonts w:ascii="Arial Narrow" w:hAnsi="Arial Narrow"/>
        </w:rPr>
        <w:t>2</w:t>
      </w:r>
      <w:r w:rsidR="00AC3F71" w:rsidRPr="00AC3F71">
        <w:rPr>
          <w:rFonts w:ascii="Arial Narrow" w:hAnsi="Arial Narrow"/>
        </w:rPr>
        <w:t>3</w:t>
      </w:r>
      <w:r w:rsidRPr="00AC3F71">
        <w:rPr>
          <w:rFonts w:ascii="Arial Narrow" w:hAnsi="Arial Narrow"/>
        </w:rPr>
        <w:t xml:space="preserve"> r. poz. </w:t>
      </w:r>
      <w:r w:rsidR="00AC3F71" w:rsidRPr="00AC3F71">
        <w:rPr>
          <w:rFonts w:ascii="Arial Narrow" w:hAnsi="Arial Narrow"/>
        </w:rPr>
        <w:t>70</w:t>
      </w:r>
      <w:r w:rsidR="00F02F7A" w:rsidRPr="00AC3F71">
        <w:rPr>
          <w:rFonts w:ascii="Arial Narrow" w:hAnsi="Arial Narrow"/>
        </w:rPr>
        <w:t xml:space="preserve"> z </w:t>
      </w:r>
      <w:proofErr w:type="spellStart"/>
      <w:r w:rsidR="00F02F7A" w:rsidRPr="00AC3F71">
        <w:rPr>
          <w:rFonts w:ascii="Arial Narrow" w:hAnsi="Arial Narrow"/>
        </w:rPr>
        <w:t>późn</w:t>
      </w:r>
      <w:proofErr w:type="spellEnd"/>
      <w:r w:rsidR="00F02F7A" w:rsidRPr="00AC3F71">
        <w:rPr>
          <w:rFonts w:ascii="Arial Narrow" w:hAnsi="Arial Narrow"/>
        </w:rPr>
        <w:t>. zm</w:t>
      </w:r>
      <w:r w:rsidRPr="00AC3F71">
        <w:rPr>
          <w:rFonts w:ascii="Arial Narrow" w:hAnsi="Arial Narrow"/>
        </w:rPr>
        <w:t xml:space="preserve">). </w:t>
      </w:r>
    </w:p>
    <w:p w14:paraId="1698A976" w14:textId="77777777" w:rsidR="00537507" w:rsidRPr="00AC3F71" w:rsidRDefault="00537507" w:rsidP="0053750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Koszty związane z przeniesieniem prawa własności pokrywa nabywca nieruchomości.</w:t>
      </w:r>
    </w:p>
    <w:p w14:paraId="534CEB8D" w14:textId="11F9F843" w:rsidR="00537507" w:rsidRPr="00AC3F71" w:rsidRDefault="00537507" w:rsidP="0053750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Informuje się o braku możliwości rozłożenia ceny na raty. Wymagane będzie zapłacenie całości ceny uzyskanej w przetargu w przed dniem zawarcia umowy sprzedaży. Uczestnik przetargu zobowiązany jest przed przystąpieniem do przetargu złożyć oświadczenie o zapoznaniu się z treścią ogłoszenia o przetargu i zaakceptowaniu warunków podanych</w:t>
      </w:r>
      <w:r w:rsidR="00CB2D85" w:rsidRPr="00AC3F71">
        <w:rPr>
          <w:rFonts w:ascii="Arial Narrow" w:hAnsi="Arial Narrow"/>
        </w:rPr>
        <w:t xml:space="preserve"> </w:t>
      </w:r>
      <w:r w:rsidRPr="00AC3F71">
        <w:rPr>
          <w:rFonts w:ascii="Arial Narrow" w:hAnsi="Arial Narrow"/>
        </w:rPr>
        <w:t>w treści ogłoszenia, oraz zapoznaniu się z przedmiotem sprzedaży.</w:t>
      </w:r>
    </w:p>
    <w:p w14:paraId="183E15EF" w14:textId="67DB96F7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>Osoba będąca cudzoziemcem w rozumieniu ustawy z dnia 24 marca 1920 r. o nabywaniu nieruchomości przez cudzoziemców (Dz.U. z 2017 r. poz. 2278</w:t>
      </w:r>
      <w:r w:rsidR="005A0327" w:rsidRPr="00AC3F71">
        <w:rPr>
          <w:rFonts w:ascii="Arial Narrow" w:hAnsi="Arial Narrow"/>
        </w:rPr>
        <w:t xml:space="preserve">z </w:t>
      </w:r>
      <w:proofErr w:type="spellStart"/>
      <w:r w:rsidR="005A0327" w:rsidRPr="00AC3F71">
        <w:rPr>
          <w:rFonts w:ascii="Arial Narrow" w:hAnsi="Arial Narrow"/>
        </w:rPr>
        <w:t>późn</w:t>
      </w:r>
      <w:proofErr w:type="spellEnd"/>
      <w:r w:rsidR="005A0327" w:rsidRPr="00AC3F71">
        <w:rPr>
          <w:rFonts w:ascii="Arial Narrow" w:hAnsi="Arial Narrow"/>
        </w:rPr>
        <w:t>. zm.</w:t>
      </w:r>
      <w:r w:rsidRPr="00AC3F71">
        <w:rPr>
          <w:rFonts w:ascii="Arial Narrow" w:hAnsi="Arial Narrow"/>
        </w:rPr>
        <w:t xml:space="preserve">) zobowiązana jest w dniu zawarcia umowy sprzedaży nieruchomości będącej przedmiotem przetargu przedłożyć wydane na zasadach i w sytuacjach przewidzianych ustawą zezwolenie właściwego ministra na nabycie tej nieruchomości, chyba, że zajdą przewidziane ustawą przesłanki wyłączające wymóg uzyskania takiego zezwolenia. Nabywca zobowiązany jest do ustalenia we własnym </w:t>
      </w:r>
      <w:proofErr w:type="gramStart"/>
      <w:r w:rsidRPr="00AC3F71">
        <w:rPr>
          <w:rFonts w:ascii="Arial Narrow" w:hAnsi="Arial Narrow"/>
        </w:rPr>
        <w:t>zakresie,</w:t>
      </w:r>
      <w:proofErr w:type="gramEnd"/>
      <w:r w:rsidRPr="00AC3F71">
        <w:rPr>
          <w:rFonts w:ascii="Arial Narrow" w:hAnsi="Arial Narrow"/>
        </w:rPr>
        <w:t xml:space="preserve"> czy nabycie nieruchomości będącej przedmiotem przetargu wymaga takiego zezwolenia.  </w:t>
      </w:r>
    </w:p>
    <w:p w14:paraId="3B083032" w14:textId="577AD670" w:rsidR="00C35467" w:rsidRPr="00AC3F71" w:rsidRDefault="00C35467" w:rsidP="00C35467">
      <w:pPr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Wójt Gminy Skąpe może odwołać przetarg jedynie z ważnych powodów, niezwłocznie podając informację o odwołaniu przetargu do publicznej wiadomości, podając przyczynę odwołania przetargu.  </w:t>
      </w:r>
    </w:p>
    <w:p w14:paraId="7E38EDFE" w14:textId="2893916D" w:rsidR="006E04D5" w:rsidRPr="00AC3F71" w:rsidRDefault="006E04D5" w:rsidP="006E04D5">
      <w:pPr>
        <w:tabs>
          <w:tab w:val="left" w:pos="10773"/>
        </w:tabs>
        <w:spacing w:after="0"/>
        <w:rPr>
          <w:rFonts w:ascii="Arial Narrow" w:hAnsi="Arial Narrow"/>
          <w:u w:val="single"/>
        </w:rPr>
      </w:pPr>
      <w:r w:rsidRPr="00AC3F71">
        <w:rPr>
          <w:rFonts w:ascii="Arial Narrow" w:hAnsi="Arial Narrow"/>
          <w:u w:val="single"/>
        </w:rPr>
        <w:t xml:space="preserve">Dane teleadresowe, pod którymi można uzyskać szczegółowe informacje: </w:t>
      </w:r>
    </w:p>
    <w:p w14:paraId="403ED4CB" w14:textId="1AE0E35F" w:rsidR="006E04D5" w:rsidRPr="00AC3F71" w:rsidRDefault="006E04D5" w:rsidP="006E04D5">
      <w:pPr>
        <w:tabs>
          <w:tab w:val="left" w:pos="10773"/>
        </w:tabs>
        <w:spacing w:after="0"/>
        <w:rPr>
          <w:rFonts w:ascii="Arial Narrow" w:hAnsi="Arial Narrow"/>
        </w:rPr>
      </w:pPr>
      <w:r w:rsidRPr="00AC3F71">
        <w:rPr>
          <w:rFonts w:ascii="Arial Narrow" w:hAnsi="Arial Narrow"/>
        </w:rPr>
        <w:t xml:space="preserve">Samodzielne stanowisko ds. gospodarki nieruchomościami Urzędu Gminy Skąpe, </w:t>
      </w:r>
      <w:proofErr w:type="spellStart"/>
      <w:r w:rsidRPr="00AC3F71">
        <w:rPr>
          <w:rFonts w:ascii="Arial Narrow" w:hAnsi="Arial Narrow"/>
        </w:rPr>
        <w:t>pok</w:t>
      </w:r>
      <w:proofErr w:type="spellEnd"/>
      <w:r w:rsidRPr="00AC3F71">
        <w:rPr>
          <w:rFonts w:ascii="Arial Narrow" w:hAnsi="Arial Narrow"/>
        </w:rPr>
        <w:t xml:space="preserve"> </w:t>
      </w:r>
      <w:proofErr w:type="gramStart"/>
      <w:r w:rsidRPr="00AC3F71">
        <w:rPr>
          <w:rFonts w:ascii="Arial Narrow" w:hAnsi="Arial Narrow"/>
        </w:rPr>
        <w:t>14,</w:t>
      </w:r>
      <w:proofErr w:type="gramEnd"/>
      <w:r w:rsidRPr="00AC3F71">
        <w:rPr>
          <w:rFonts w:ascii="Arial Narrow" w:hAnsi="Arial Narrow"/>
        </w:rPr>
        <w:t xml:space="preserve"> I piętro, 683470559</w:t>
      </w:r>
    </w:p>
    <w:p w14:paraId="27AA0AB7" w14:textId="77777777" w:rsidR="00C35467" w:rsidRPr="00AC3F71" w:rsidRDefault="00C35467" w:rsidP="00C35467">
      <w:pPr>
        <w:tabs>
          <w:tab w:val="left" w:pos="11340"/>
        </w:tabs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ab/>
        <w:t>Wójt Gminy Skąpe</w:t>
      </w:r>
    </w:p>
    <w:p w14:paraId="5066ABA5" w14:textId="30D7D23D" w:rsidR="00B96878" w:rsidRPr="00AC3F71" w:rsidRDefault="00C35467" w:rsidP="00B65229">
      <w:pPr>
        <w:tabs>
          <w:tab w:val="left" w:pos="11340"/>
        </w:tabs>
        <w:spacing w:line="276" w:lineRule="auto"/>
        <w:jc w:val="both"/>
        <w:rPr>
          <w:rFonts w:ascii="Arial Narrow" w:hAnsi="Arial Narrow"/>
        </w:rPr>
      </w:pPr>
      <w:r w:rsidRPr="00AC3F71">
        <w:rPr>
          <w:rFonts w:ascii="Arial Narrow" w:hAnsi="Arial Narrow"/>
        </w:rPr>
        <w:tab/>
        <w:t>/-/ Zbigniew Woch</w:t>
      </w:r>
    </w:p>
    <w:p w14:paraId="667A7487" w14:textId="77777777" w:rsidR="006E04D5" w:rsidRPr="00AC3F71" w:rsidRDefault="006E04D5" w:rsidP="00B65229">
      <w:pPr>
        <w:spacing w:before="100" w:beforeAutospacing="1" w:after="100" w:afterAutospacing="1" w:line="276" w:lineRule="auto"/>
        <w:jc w:val="center"/>
        <w:outlineLvl w:val="0"/>
        <w:rPr>
          <w:rFonts w:ascii="Arial Narrow" w:hAnsi="Arial Narrow"/>
          <w:b/>
          <w:bCs/>
          <w:kern w:val="36"/>
        </w:rPr>
      </w:pPr>
      <w:bookmarkStart w:id="0" w:name="_Hlk72484490"/>
    </w:p>
    <w:p w14:paraId="57457407" w14:textId="1E816E8A" w:rsidR="00B65229" w:rsidRPr="00BB29E3" w:rsidRDefault="00B65229" w:rsidP="00B65229">
      <w:pPr>
        <w:spacing w:before="100" w:beforeAutospacing="1" w:after="100" w:afterAutospacing="1" w:line="276" w:lineRule="auto"/>
        <w:jc w:val="center"/>
        <w:outlineLvl w:val="0"/>
        <w:rPr>
          <w:rFonts w:ascii="Arial Narrow" w:hAnsi="Arial Narrow"/>
          <w:b/>
          <w:bCs/>
          <w:kern w:val="36"/>
        </w:rPr>
      </w:pPr>
      <w:r w:rsidRPr="00BB29E3">
        <w:rPr>
          <w:rFonts w:ascii="Arial Narrow" w:hAnsi="Arial Narrow"/>
          <w:b/>
          <w:bCs/>
          <w:kern w:val="36"/>
        </w:rPr>
        <w:t>Klauzula informacyjna o przetwarzaniu danych osobowych</w:t>
      </w:r>
    </w:p>
    <w:p w14:paraId="1E811B3E" w14:textId="77777777" w:rsidR="00B65229" w:rsidRPr="00BB29E3" w:rsidRDefault="00B65229" w:rsidP="00B65229">
      <w:pPr>
        <w:ind w:firstLine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W związku z art. 13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59FEE62C" w14:textId="77777777" w:rsidR="00B65229" w:rsidRPr="00BB29E3" w:rsidRDefault="00B65229" w:rsidP="00B65229">
      <w:pPr>
        <w:ind w:firstLine="426"/>
        <w:jc w:val="both"/>
        <w:rPr>
          <w:rFonts w:ascii="Arial Narrow" w:hAnsi="Arial Narrow"/>
          <w:b/>
          <w:bCs/>
          <w:sz w:val="18"/>
          <w:szCs w:val="18"/>
        </w:rPr>
      </w:pPr>
    </w:p>
    <w:p w14:paraId="22D11F38" w14:textId="77777777" w:rsidR="00B65229" w:rsidRPr="00BB29E3" w:rsidRDefault="00B65229" w:rsidP="00B6522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Administratorem danych osobowych jest Gmina Skąpe, Skąpe 65, 66-213 Skąpe, </w:t>
      </w:r>
      <w:hyperlink r:id="rId6" w:history="1">
        <w:r w:rsidRPr="00BB29E3">
          <w:rPr>
            <w:rFonts w:ascii="Arial Narrow" w:hAnsi="Arial Narrow"/>
            <w:color w:val="0000FF"/>
            <w:sz w:val="18"/>
            <w:szCs w:val="18"/>
            <w:u w:val="single"/>
          </w:rPr>
          <w:t>urzad@skape.pl</w:t>
        </w:r>
      </w:hyperlink>
      <w:r w:rsidRPr="00BB29E3">
        <w:rPr>
          <w:rFonts w:ascii="Arial Narrow" w:hAnsi="Arial Narrow"/>
          <w:sz w:val="18"/>
          <w:szCs w:val="18"/>
        </w:rPr>
        <w:t xml:space="preserve"> , tel. 683419212. </w:t>
      </w:r>
    </w:p>
    <w:p w14:paraId="4BA77D23" w14:textId="77777777" w:rsidR="00B65229" w:rsidRPr="00BB29E3" w:rsidRDefault="00B65229" w:rsidP="00B6522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We wszystkich sprawach dotyczących przetwarzania danych osobowych oraz korzystania z praw związanych z przetwarzaniem danych można się kontaktować z Inspektorem Ochrony Danych u Administratora listownie na adres Administratora, na adres e-mail: </w:t>
      </w:r>
      <w:hyperlink r:id="rId7" w:history="1">
        <w:r w:rsidRPr="00BB29E3">
          <w:rPr>
            <w:rFonts w:ascii="Arial Narrow" w:hAnsi="Arial Narrow"/>
            <w:color w:val="0000FF"/>
            <w:sz w:val="18"/>
            <w:szCs w:val="18"/>
            <w:u w:val="single"/>
          </w:rPr>
          <w:t>iod@skape.pl</w:t>
        </w:r>
      </w:hyperlink>
      <w:r w:rsidRPr="00BB29E3">
        <w:rPr>
          <w:rFonts w:ascii="Arial Narrow" w:hAnsi="Arial Narrow"/>
          <w:sz w:val="18"/>
          <w:szCs w:val="18"/>
        </w:rPr>
        <w:t xml:space="preserve">  lub tel. 683419213.</w:t>
      </w:r>
    </w:p>
    <w:p w14:paraId="737880BA" w14:textId="77777777" w:rsidR="00B65229" w:rsidRPr="00BB29E3" w:rsidRDefault="00B65229" w:rsidP="00B6522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Pani/Pana dane osobowe przetwarzane są </w:t>
      </w:r>
      <w:proofErr w:type="gramStart"/>
      <w:r w:rsidRPr="00BB29E3">
        <w:rPr>
          <w:rFonts w:ascii="Arial Narrow" w:hAnsi="Arial Narrow"/>
          <w:sz w:val="18"/>
          <w:szCs w:val="18"/>
        </w:rPr>
        <w:t>w  celach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związanych z organizacją i przeprowadzeniem przetargu oraz w celu ewentualnego zawarcia umowy, jej realizacji, dokonywania rozliczeń, windykacji należności.</w:t>
      </w:r>
    </w:p>
    <w:p w14:paraId="70EF57AD" w14:textId="77777777" w:rsidR="00B65229" w:rsidRPr="00BB29E3" w:rsidRDefault="00B65229" w:rsidP="00B652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 xml:space="preserve">Podstawą prawną dla przetwarzania danych jest: </w:t>
      </w:r>
    </w:p>
    <w:p w14:paraId="29038EA5" w14:textId="77777777" w:rsidR="00B65229" w:rsidRPr="00BB29E3" w:rsidRDefault="00B65229" w:rsidP="00B65229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 xml:space="preserve">art. 6 ust. 1 lit. c RODO - przetwarzanie jest niezbędne do wypełnienia obowiązku prawnego ciążącego na administratorze wynikającego z ustawy z dnia 21 sierpnia 1997 r o gospodarce nieruchomościami, Rozporządzenia Rady Ministrów z dnia 14 września 2004 r. w sprawie sposobu i trybu przeprowadzania przetargów oraz rokowań na zbycie nieruchomości, </w:t>
      </w:r>
    </w:p>
    <w:p w14:paraId="08842118" w14:textId="77777777" w:rsidR="00B65229" w:rsidRPr="00BB29E3" w:rsidRDefault="00B65229" w:rsidP="00B65229">
      <w:pPr>
        <w:numPr>
          <w:ilvl w:val="0"/>
          <w:numId w:val="5"/>
        </w:numPr>
        <w:spacing w:after="0" w:line="240" w:lineRule="auto"/>
        <w:ind w:left="709" w:hanging="357"/>
        <w:contextualSpacing/>
        <w:jc w:val="both"/>
        <w:rPr>
          <w:rFonts w:ascii="Arial Narrow" w:hAnsi="Arial Narrow" w:cs="Arial"/>
          <w:sz w:val="18"/>
          <w:szCs w:val="18"/>
        </w:rPr>
      </w:pPr>
      <w:bookmarkStart w:id="1" w:name="_Hlk64638109"/>
      <w:r w:rsidRPr="00BB29E3">
        <w:rPr>
          <w:rFonts w:ascii="Arial Narrow" w:hAnsi="Arial Narrow" w:cs="Arial"/>
          <w:sz w:val="18"/>
          <w:szCs w:val="18"/>
        </w:rPr>
        <w:t>art. 6 ust. 1 lit. b RODO - przetwarzanie jest niezbędne do wykonania umowy, której stroną jest osoba, której dane dotyczą lub do podjęcia działań na żądanie osoby, której dane dotyczą, przed zawarciem umowy</w:t>
      </w:r>
      <w:bookmarkEnd w:id="1"/>
      <w:r w:rsidRPr="00BB29E3">
        <w:rPr>
          <w:rFonts w:ascii="Arial Narrow" w:hAnsi="Arial Narrow" w:cs="Arial"/>
          <w:sz w:val="18"/>
          <w:szCs w:val="18"/>
        </w:rPr>
        <w:t>.</w:t>
      </w:r>
    </w:p>
    <w:p w14:paraId="4FF63E54" w14:textId="77777777" w:rsidR="00B65229" w:rsidRPr="00BB29E3" w:rsidRDefault="00B65229" w:rsidP="00B6522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Odbiorcą danych osobowych będą:</w:t>
      </w:r>
    </w:p>
    <w:p w14:paraId="34C20797" w14:textId="77777777" w:rsidR="00B65229" w:rsidRPr="00BB29E3" w:rsidRDefault="00B65229" w:rsidP="00B65229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>organy publiczne oraz inne podmioty, którym Administrator udostępni dane na podstawie przepisów prawa,</w:t>
      </w:r>
    </w:p>
    <w:p w14:paraId="12A9F4FD" w14:textId="77777777" w:rsidR="00B65229" w:rsidRPr="00BB29E3" w:rsidRDefault="00B65229" w:rsidP="00B65229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BB29E3">
        <w:rPr>
          <w:rFonts w:ascii="Arial Narrow" w:eastAsia="Calibri" w:hAnsi="Arial Narrow" w:cs="Arial"/>
          <w:sz w:val="18"/>
          <w:szCs w:val="18"/>
        </w:rPr>
        <w:t>podmioty, które przetwarzają Pani/Pana dane osobowe w imieniu Administratora na podstawie zawartej umowy powierzenia przetwarzania danych osobowych (tzw. podmioty przetwarzające),</w:t>
      </w:r>
    </w:p>
    <w:p w14:paraId="1D284C2E" w14:textId="77777777" w:rsidR="00B65229" w:rsidRPr="00BB29E3" w:rsidRDefault="00B65229" w:rsidP="00B65229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Państwa dane będą podane do publicznej wiadomości   podczas   </w:t>
      </w:r>
      <w:proofErr w:type="gramStart"/>
      <w:r w:rsidRPr="00BB29E3">
        <w:rPr>
          <w:rFonts w:ascii="Arial Narrow" w:hAnsi="Arial Narrow"/>
          <w:sz w:val="18"/>
          <w:szCs w:val="18"/>
        </w:rPr>
        <w:t xml:space="preserve">przetargu,   </w:t>
      </w:r>
      <w:proofErr w:type="gramEnd"/>
      <w:r w:rsidRPr="00BB29E3">
        <w:rPr>
          <w:rFonts w:ascii="Arial Narrow" w:hAnsi="Arial Narrow"/>
          <w:sz w:val="18"/>
          <w:szCs w:val="18"/>
        </w:rPr>
        <w:t>natomiast   dane   osoby,   która   przetarg   wygra   zostaną   podane   do publicznej wiadomości poprzez wywieszenie na tablicy ogłoszeń w Urzędzie Gminy oraz opublikowanie na stronie BIP Administratora.</w:t>
      </w:r>
    </w:p>
    <w:p w14:paraId="2DFF3204" w14:textId="77777777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Dane osobowe nie są przekazywane do państwa trzeciego lub organizacji międzynarodowej.</w:t>
      </w:r>
    </w:p>
    <w:p w14:paraId="322E8ADC" w14:textId="4BDE4A7E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Dane osobowe będą przechowywane do momentu ustania celu przetwarzania wskazanego w pkt 3. Następnie wraz z tą datą zostaną zarchiwizowane zgodnie z przepisami prawa obowiązującymi w tym zakresie (ustawą z 14 lipca </w:t>
      </w:r>
      <w:proofErr w:type="gramStart"/>
      <w:r w:rsidRPr="00BB29E3">
        <w:rPr>
          <w:rFonts w:ascii="Arial Narrow" w:hAnsi="Arial Narrow"/>
          <w:sz w:val="18"/>
          <w:szCs w:val="18"/>
        </w:rPr>
        <w:t>1983  r.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 </w:t>
      </w:r>
      <w:proofErr w:type="gramStart"/>
      <w:r w:rsidRPr="00BB29E3">
        <w:rPr>
          <w:rFonts w:ascii="Arial Narrow" w:hAnsi="Arial Narrow"/>
          <w:sz w:val="18"/>
          <w:szCs w:val="18"/>
        </w:rPr>
        <w:t>o  narodowym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 zasobie  archiwalnym  i  archiwach  oraz rozporządzeniem Prezesa Rady Ministrów z 18 stycznia 2011 r. w sprawie instrukcji kancelaryjnej, jednolitych rzeczowych wykazów akt oraz instrukcji w sprawie organizacji i zakresu działania archiwów zakładowych).</w:t>
      </w:r>
    </w:p>
    <w:p w14:paraId="3E91F7BC" w14:textId="77777777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Informujemy, iż przysługuje Pani/Panu prawo dostępu do treści danych oraz ich sprostowania, usunięcia, ograniczenia przetwarzania.</w:t>
      </w:r>
    </w:p>
    <w:p w14:paraId="00D9AAA9" w14:textId="77777777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Przysługuje Pani/Panu prawo do wniesienia skargi do organu nadzorczego (tj.: </w:t>
      </w:r>
      <w:r w:rsidRPr="00BB29E3">
        <w:rPr>
          <w:rFonts w:ascii="Arial Narrow" w:hAnsi="Arial Narrow"/>
          <w:i/>
          <w:iCs/>
          <w:sz w:val="18"/>
          <w:szCs w:val="18"/>
        </w:rPr>
        <w:t>Prezesa Urzędu Ochrony Danych Osobowych ul. Stawki 2, 00-193 Warszawa</w:t>
      </w:r>
      <w:r w:rsidRPr="00BB29E3">
        <w:rPr>
          <w:rFonts w:ascii="Arial Narrow" w:hAnsi="Arial Narrow"/>
          <w:sz w:val="18"/>
          <w:szCs w:val="18"/>
        </w:rPr>
        <w:t xml:space="preserve">) jeżeli uważa Pani/Pan, że przetwarzanie danych osobowych narusza przepisy prawa. </w:t>
      </w:r>
    </w:p>
    <w:p w14:paraId="3974D42F" w14:textId="77777777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5" w:hanging="357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BB29E3">
        <w:rPr>
          <w:rFonts w:ascii="Arial Narrow" w:eastAsia="Calibri" w:hAnsi="Arial Narrow" w:cs="Arial"/>
          <w:sz w:val="18"/>
          <w:szCs w:val="18"/>
        </w:rPr>
        <w:t>Podanie przez Pana/Panią danych osobowych jest dobrowolne jednak konieczne do zrealizowania celów, o których mowa w pkt. 3.</w:t>
      </w:r>
    </w:p>
    <w:p w14:paraId="51FCF128" w14:textId="77777777" w:rsidR="00B65229" w:rsidRPr="00BB29E3" w:rsidRDefault="00B65229" w:rsidP="00B65229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W trakcie przetwarzania danych żadne decyzje nie będą podejmowane w sposób zautomatyzowany oraz nie będą budowane żadne profile.</w:t>
      </w:r>
    </w:p>
    <w:bookmarkEnd w:id="0"/>
    <w:p w14:paraId="43751A0B" w14:textId="7E74F8CD" w:rsidR="00B96878" w:rsidRPr="00B65229" w:rsidRDefault="00B96878" w:rsidP="00D924D2">
      <w:pPr>
        <w:spacing w:after="0"/>
        <w:jc w:val="both"/>
        <w:rPr>
          <w:rFonts w:ascii="Arial Narrow" w:hAnsi="Arial Narrow"/>
        </w:rPr>
      </w:pPr>
    </w:p>
    <w:p w14:paraId="0F31812B" w14:textId="74324FB1" w:rsidR="00A94B3E" w:rsidRPr="00B65229" w:rsidRDefault="00B96878" w:rsidP="00A94B3E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  <w:r w:rsidRPr="00B65229">
        <w:rPr>
          <w:rFonts w:ascii="Arial Narrow" w:hAnsi="Arial Narrow"/>
        </w:rPr>
        <w:tab/>
      </w:r>
    </w:p>
    <w:p w14:paraId="6879C462" w14:textId="49284052" w:rsidR="00B96878" w:rsidRPr="00B65229" w:rsidRDefault="00B96878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28386FEB" w14:textId="182A53F4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2AE3795B" w14:textId="73B356FF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421D64A8" w14:textId="7CAB49C9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523A8C2B" w14:textId="2B203A0B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0E5F8B78" w14:textId="02763B69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0CD1E332" w14:textId="6B05A38B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52600D09" w14:textId="49E1056F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589A5421" w14:textId="339A69E7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45DD9CAF" w14:textId="61D0B047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1E07714E" w14:textId="1E928B30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76F27FB5" w14:textId="501A49B3" w:rsidR="00A94B3E" w:rsidRPr="00B65229" w:rsidRDefault="00A94B3E" w:rsidP="00B96878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</w:p>
    <w:p w14:paraId="5E46ADD2" w14:textId="58873C23" w:rsidR="00B65229" w:rsidRDefault="00B65229" w:rsidP="006E04D5">
      <w:pPr>
        <w:tabs>
          <w:tab w:val="left" w:pos="10773"/>
        </w:tabs>
        <w:spacing w:after="0"/>
        <w:rPr>
          <w:rFonts w:ascii="Arial Narrow" w:hAnsi="Arial Narrow"/>
          <w:sz w:val="18"/>
          <w:szCs w:val="18"/>
          <w:u w:val="single"/>
        </w:rPr>
      </w:pPr>
    </w:p>
    <w:p w14:paraId="7A467250" w14:textId="7B9C7187" w:rsidR="00B65229" w:rsidRDefault="00B65229" w:rsidP="00822E7D">
      <w:pPr>
        <w:tabs>
          <w:tab w:val="left" w:pos="10773"/>
        </w:tabs>
        <w:spacing w:after="0"/>
        <w:rPr>
          <w:rFonts w:ascii="Arial Narrow" w:hAnsi="Arial Narrow"/>
          <w:sz w:val="18"/>
          <w:szCs w:val="18"/>
          <w:u w:val="single"/>
        </w:rPr>
      </w:pPr>
    </w:p>
    <w:p w14:paraId="3BBC3BA8" w14:textId="77777777" w:rsidR="00B65229" w:rsidRPr="00B65229" w:rsidRDefault="00B65229" w:rsidP="00B96878">
      <w:pPr>
        <w:tabs>
          <w:tab w:val="left" w:pos="10773"/>
        </w:tabs>
        <w:spacing w:after="0"/>
        <w:jc w:val="center"/>
        <w:rPr>
          <w:rFonts w:ascii="Arial Narrow" w:hAnsi="Arial Narrow"/>
          <w:sz w:val="18"/>
          <w:szCs w:val="18"/>
          <w:u w:val="single"/>
        </w:rPr>
      </w:pPr>
    </w:p>
    <w:p w14:paraId="220861E5" w14:textId="77777777" w:rsidR="006E04D5" w:rsidRPr="00B65229" w:rsidRDefault="006E04D5">
      <w:pPr>
        <w:tabs>
          <w:tab w:val="left" w:pos="10773"/>
        </w:tabs>
        <w:spacing w:after="0"/>
        <w:rPr>
          <w:rFonts w:ascii="Arial Narrow" w:hAnsi="Arial Narrow"/>
          <w:sz w:val="18"/>
          <w:szCs w:val="18"/>
        </w:rPr>
      </w:pPr>
    </w:p>
    <w:sectPr w:rsidR="006E04D5" w:rsidRPr="00B65229" w:rsidSect="00D13FC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2961"/>
    <w:multiLevelType w:val="hybridMultilevel"/>
    <w:tmpl w:val="777AFC40"/>
    <w:lvl w:ilvl="0" w:tplc="C8F05A9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671244"/>
    <w:multiLevelType w:val="multilevel"/>
    <w:tmpl w:val="E0468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67F55"/>
    <w:multiLevelType w:val="multilevel"/>
    <w:tmpl w:val="54D86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F5730"/>
    <w:multiLevelType w:val="multilevel"/>
    <w:tmpl w:val="201654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61B2BA2"/>
    <w:multiLevelType w:val="hybridMultilevel"/>
    <w:tmpl w:val="BF92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3CB7"/>
    <w:multiLevelType w:val="hybridMultilevel"/>
    <w:tmpl w:val="2A382980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4536939">
    <w:abstractNumId w:val="0"/>
  </w:num>
  <w:num w:numId="2" w16cid:durableId="1238443388">
    <w:abstractNumId w:val="3"/>
  </w:num>
  <w:num w:numId="3" w16cid:durableId="1252543581">
    <w:abstractNumId w:val="2"/>
  </w:num>
  <w:num w:numId="4" w16cid:durableId="1588659777">
    <w:abstractNumId w:val="4"/>
  </w:num>
  <w:num w:numId="5" w16cid:durableId="611018193">
    <w:abstractNumId w:val="6"/>
  </w:num>
  <w:num w:numId="6" w16cid:durableId="1398474336">
    <w:abstractNumId w:val="1"/>
  </w:num>
  <w:num w:numId="7" w16cid:durableId="2039695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11"/>
    <w:rsid w:val="00031588"/>
    <w:rsid w:val="00050066"/>
    <w:rsid w:val="00097DD6"/>
    <w:rsid w:val="000C3222"/>
    <w:rsid w:val="00181B6F"/>
    <w:rsid w:val="00204393"/>
    <w:rsid w:val="0025581C"/>
    <w:rsid w:val="00330A66"/>
    <w:rsid w:val="0035215F"/>
    <w:rsid w:val="00375657"/>
    <w:rsid w:val="003D06E5"/>
    <w:rsid w:val="00407DAD"/>
    <w:rsid w:val="004416DD"/>
    <w:rsid w:val="004840BE"/>
    <w:rsid w:val="00537507"/>
    <w:rsid w:val="00544798"/>
    <w:rsid w:val="005874B5"/>
    <w:rsid w:val="005A0327"/>
    <w:rsid w:val="005F0222"/>
    <w:rsid w:val="00620C22"/>
    <w:rsid w:val="006514C1"/>
    <w:rsid w:val="00685D80"/>
    <w:rsid w:val="006E04D5"/>
    <w:rsid w:val="006E3364"/>
    <w:rsid w:val="00752CF8"/>
    <w:rsid w:val="007A1E11"/>
    <w:rsid w:val="007C5B17"/>
    <w:rsid w:val="00822E7D"/>
    <w:rsid w:val="008C09D2"/>
    <w:rsid w:val="008F1387"/>
    <w:rsid w:val="009A26E8"/>
    <w:rsid w:val="009B3BC8"/>
    <w:rsid w:val="009F6301"/>
    <w:rsid w:val="00A94B3E"/>
    <w:rsid w:val="00A95F78"/>
    <w:rsid w:val="00AC3F71"/>
    <w:rsid w:val="00B65229"/>
    <w:rsid w:val="00B96878"/>
    <w:rsid w:val="00BA7B7C"/>
    <w:rsid w:val="00C35467"/>
    <w:rsid w:val="00C93455"/>
    <w:rsid w:val="00CB2D85"/>
    <w:rsid w:val="00D13FC7"/>
    <w:rsid w:val="00D7750C"/>
    <w:rsid w:val="00D924D2"/>
    <w:rsid w:val="00E5292B"/>
    <w:rsid w:val="00E737FD"/>
    <w:rsid w:val="00E81113"/>
    <w:rsid w:val="00EC1B11"/>
    <w:rsid w:val="00F02F7A"/>
    <w:rsid w:val="00F0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C473"/>
  <w15:chartTrackingRefBased/>
  <w15:docId w15:val="{0E11B8A3-872E-4569-8BA8-8652BC2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E3364"/>
    <w:pPr>
      <w:spacing w:after="0" w:line="240" w:lineRule="auto"/>
      <w:jc w:val="both"/>
    </w:pPr>
    <w:rPr>
      <w:rFonts w:ascii="Times New Roman" w:eastAsia="Times New Roman" w:hAnsi="Times New Roman" w:cs="Times New Roman"/>
      <w:i/>
      <w:spacing w:val="36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E3364"/>
    <w:rPr>
      <w:rFonts w:ascii="Times New Roman" w:eastAsia="Times New Roman" w:hAnsi="Times New Roman" w:cs="Times New Roman"/>
      <w:i/>
      <w:spacing w:val="3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E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kap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skap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BDA7-1FE1-43E2-B7DE-E20A6EF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Katarzyna Sokołowska</cp:lastModifiedBy>
  <cp:revision>29</cp:revision>
  <cp:lastPrinted>2022-11-30T09:20:00Z</cp:lastPrinted>
  <dcterms:created xsi:type="dcterms:W3CDTF">2022-11-18T12:22:00Z</dcterms:created>
  <dcterms:modified xsi:type="dcterms:W3CDTF">2023-03-27T07:11:00Z</dcterms:modified>
</cp:coreProperties>
</file>