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1913" w14:textId="4CD15D95" w:rsidR="00427A33" w:rsidRDefault="00427A33" w:rsidP="00427A3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Wójt Gminy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Wiśniew, 2</w:t>
      </w:r>
      <w:r w:rsidR="00CD34C5">
        <w:rPr>
          <w:rFonts w:ascii="Times New Roman" w:hAnsi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/>
          <w:color w:val="000000" w:themeColor="text1"/>
          <w:sz w:val="24"/>
          <w:szCs w:val="24"/>
        </w:rPr>
        <w:t>.09.2026 r.</w:t>
      </w:r>
    </w:p>
    <w:p w14:paraId="05F5CCC4" w14:textId="77777777" w:rsidR="00427A33" w:rsidRDefault="00427A33" w:rsidP="00427A3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Wiśniew</w:t>
      </w:r>
    </w:p>
    <w:p w14:paraId="41BD2D08" w14:textId="77777777" w:rsidR="00427A33" w:rsidRDefault="00427A33" w:rsidP="00427A33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pow. siedlecki, woj. mazowieckie</w:t>
      </w:r>
    </w:p>
    <w:p w14:paraId="11755DBB" w14:textId="26DF9B8C" w:rsidR="00427A33" w:rsidRDefault="00427A33" w:rsidP="00427A3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RIG.6220.19.2025.RS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Załącznik</w:t>
      </w:r>
      <w:r w:rsidR="00ED2935">
        <w:rPr>
          <w:rFonts w:ascii="Times New Roman" w:hAnsi="Times New Roman"/>
          <w:color w:val="000000" w:themeColor="text1"/>
          <w:sz w:val="24"/>
          <w:szCs w:val="24"/>
        </w:rPr>
        <w:t xml:space="preserve"> Nr 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do decyzji </w:t>
      </w:r>
    </w:p>
    <w:p w14:paraId="5E998FE5" w14:textId="731FEBDE" w:rsidR="00427A33" w:rsidRDefault="00427A33" w:rsidP="00427A3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Nr 6/2026 z dnia 2</w:t>
      </w:r>
      <w:r w:rsidR="00CD34C5">
        <w:rPr>
          <w:rFonts w:ascii="Times New Roman" w:hAnsi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/>
          <w:color w:val="000000" w:themeColor="text1"/>
          <w:sz w:val="24"/>
          <w:szCs w:val="24"/>
        </w:rPr>
        <w:t>.09.2026 r.</w:t>
      </w:r>
    </w:p>
    <w:p w14:paraId="4432308A" w14:textId="77777777" w:rsidR="00427A33" w:rsidRDefault="00427A33" w:rsidP="00427A3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7423426" w14:textId="490B18EC" w:rsidR="00427A33" w:rsidRDefault="00427A33" w:rsidP="0042395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Charakterystyka przedsięwzięcia</w:t>
      </w:r>
    </w:p>
    <w:p w14:paraId="21D773D8" w14:textId="2AA8A4E7" w:rsidR="00427A33" w:rsidRPr="00CD34C5" w:rsidRDefault="00427A33" w:rsidP="00427A33">
      <w:pPr>
        <w:spacing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D34C5">
        <w:rPr>
          <w:rFonts w:ascii="Times New Roman" w:hAnsi="Times New Roman"/>
          <w:b/>
          <w:bCs/>
          <w:sz w:val="24"/>
          <w:szCs w:val="24"/>
        </w:rPr>
        <w:t>pn. ,, Budowa instalacji OZE o łącznej powierzchni zabudowy do 2,68 ha wraz z niezbędną infrastrukturą techniczną i elektroenergetyczną na działkach  ewidencyjn</w:t>
      </w:r>
      <w:r w:rsidR="00631BE3" w:rsidRPr="00CD34C5">
        <w:rPr>
          <w:rFonts w:ascii="Times New Roman" w:hAnsi="Times New Roman"/>
          <w:b/>
          <w:bCs/>
          <w:sz w:val="24"/>
          <w:szCs w:val="24"/>
        </w:rPr>
        <w:t xml:space="preserve">ych </w:t>
      </w:r>
      <w:r w:rsidRPr="00CD34C5">
        <w:rPr>
          <w:rFonts w:ascii="Times New Roman" w:hAnsi="Times New Roman"/>
          <w:b/>
          <w:bCs/>
          <w:sz w:val="24"/>
          <w:szCs w:val="24"/>
        </w:rPr>
        <w:t xml:space="preserve">nr 62 i 63 ob. Borki-Sołdy gm. Wiśniew w </w:t>
      </w:r>
      <w:r w:rsidRPr="00CD34C5">
        <w:rPr>
          <w:rFonts w:ascii="Times New Roman" w:hAnsi="Times New Roman"/>
          <w:b/>
          <w:bCs/>
          <w:color w:val="000000" w:themeColor="text1"/>
          <w:sz w:val="24"/>
          <w:szCs w:val="24"/>
        </w:rPr>
        <w:t>województwie mazowieckim z możliwością etapowania”.</w:t>
      </w:r>
    </w:p>
    <w:p w14:paraId="3EFEB367" w14:textId="77777777" w:rsidR="00423954" w:rsidRDefault="00423954" w:rsidP="00427A33">
      <w:pPr>
        <w:spacing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31A5C48F" w14:textId="103E81ED" w:rsidR="00423954" w:rsidRPr="00423954" w:rsidRDefault="00423954" w:rsidP="00423954">
      <w:pPr>
        <w:spacing w:line="240" w:lineRule="auto"/>
        <w:ind w:firstLine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23954">
        <w:rPr>
          <w:rFonts w:ascii="Times New Roman" w:hAnsi="Times New Roman"/>
          <w:color w:val="000000" w:themeColor="text1"/>
          <w:sz w:val="24"/>
          <w:szCs w:val="24"/>
        </w:rPr>
        <w:t xml:space="preserve">Planowane przedsięwzięcie obejmuje budowę farmy fotowoltaicznej o mocy do 2  MW  i  zespołu magazynów energii o mocy do 200 MW o łącznej powierzchni zabudowy do 2,68 ha. Na terenie działek ewidencyjnych  o  nr:  62  i  63 obręb Borki-Sołdy, gm.  Wiśniew w  województwie mazowieckim. Działki na których zaplanowano przedsięwzięcie mają łączną powierzchnię: 2,75 ha.  </w:t>
      </w:r>
    </w:p>
    <w:p w14:paraId="19EA304E" w14:textId="26B893D0" w:rsidR="00427A33" w:rsidRDefault="00427A33" w:rsidP="00427A33">
      <w:pPr>
        <w:spacing w:after="0" w:line="240" w:lineRule="auto"/>
        <w:ind w:firstLine="357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Teren przedsięwzięcia położony jest w znacznej odległości od zabudowy z funkcją mieszkalną. 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br/>
        <w:t>W obszarze oddziaływania wyznaczonym w promieniu 100 m od granic przedsięwzięcia</w:t>
      </w:r>
      <w:r>
        <w:rPr>
          <w:rFonts w:ascii="Times New Roman" w:eastAsia="Times New Roman" w:hAnsi="Times New Roman"/>
          <w:color w:val="000000"/>
          <w:kern w:val="0"/>
          <w:lang w:eastAsia="pl-PL"/>
          <w14:ligatures w14:val="none"/>
        </w:rPr>
        <w:t xml:space="preserve"> nie występuje zabudowa mieszkalna.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 Obszar objęty wnioskiem obejmuje grunty orne klas R </w:t>
      </w:r>
      <w:proofErr w:type="spellStart"/>
      <w:r>
        <w:rPr>
          <w:rFonts w:ascii="Times New Roman" w:eastAsia="Times New Roman" w:hAnsi="Times New Roman"/>
          <w:kern w:val="0"/>
          <w:lang w:eastAsia="pl-PL"/>
          <w14:ligatures w14:val="none"/>
        </w:rPr>
        <w:t>IVb</w:t>
      </w:r>
      <w:proofErr w:type="spellEnd"/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 i RV. Planowana inwestycja zlokalizowana jest w krajobrazie rolniczym z rozbudowaną siecią osadniczą stanowiącą strefę podmiejską miasta Siedlce charakteryzująca się zwiększającym procesem urbanizacyjnym związanym m.in. z budową autostrady A2. Obszar przedsięwzięcia pokrywa w całości pole uprawne.</w:t>
      </w:r>
    </w:p>
    <w:p w14:paraId="599590BF" w14:textId="0D747CA3" w:rsidR="00C9108A" w:rsidRPr="00C9108A" w:rsidRDefault="00C9108A" w:rsidP="00C9108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Inwestycja służy</w:t>
      </w:r>
      <w:r w:rsidR="008973EF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 wytwarzania prądu elektrycznego za pomocą ogniw fotowoltaicznych oraz magazynowania energii elektrycznej. Wytworzony przez instalację fotowoltaiczną prąd będzie magazynowany w zespole magazynów, a następnie przekazywany do sieci elektroenergetycznej za pomocą ziemnego przyłącza kablowego. Głównymi elementami farmy fotowoltaicznej będą: panele fotowoltaiczne o łącznej maksymalnej mocy</w:t>
      </w:r>
      <w:r w:rsidR="000E46BD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2</w:t>
      </w:r>
      <w:r w:rsidR="000E46BD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MW</w:t>
      </w:r>
      <w:r w:rsidR="003956D5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;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inwertery o łącznej maksymalnej mocy 2 MW; stacje transformatorowe maksymalnie 2</w:t>
      </w:r>
      <w:r w:rsidR="000E46BD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szt. o mocy 1</w:t>
      </w:r>
      <w:r w:rsidR="000E46BD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MVA i powierzchni do 60 m² lub mniejsza liczba większych urządzeń; konstrukcje wsporcze stałe lub z zastosowaniem konstrukcji nadążnej</w:t>
      </w:r>
      <w:r w:rsidR="003956D5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;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ogrodzenie farmy fotowoltaicznej wraz z kierunkowym oświetleniem i systemem monitoringu; wewnętrzne ziemne linie przesyłowe niskiego napięcia; urządzenia pomiarowo kontrolne; kontenerowe magazyny energii maksymalnie 100 szt. o mocy 2 MW i powierzchni do ok. 33 m², lub mniejsza liczba większych urządzeń; stacje transformatorowo rozdzielcze w zespole magazynów energii maksymalnie 50 szt. o mocy 4</w:t>
      </w:r>
      <w:r w:rsidR="000E46BD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MVA i powierzchni do  ok. 60 m², lub mniejszą liczbę większych urządzeń; stacja transformatorowa SN/110 </w:t>
      </w:r>
      <w:r w:rsidR="000E46BD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pl-PL"/>
          <w14:ligatures w14:val="none"/>
        </w:rPr>
        <w:t>V (Główny Punkt Odbioru) z możliwością rozbudowy na NN/WN; ścieżki techniczne i miejsca postojowe obsiane trawą.</w:t>
      </w:r>
    </w:p>
    <w:p w14:paraId="05501F86" w14:textId="7F3F5BA4" w:rsidR="00427A33" w:rsidRDefault="00427A33" w:rsidP="000E46B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Przedsięwzięcie polega na budowie farmy fotowoltaicznej połączonej z zespołem magazynów energii</w:t>
      </w:r>
      <w:r w:rsidR="000E46BD">
        <w:rPr>
          <w:rFonts w:ascii="Times New Roman" w:hAnsi="Times New Roman"/>
          <w:color w:val="000000" w:themeColor="text1"/>
          <w:sz w:val="24"/>
          <w:szCs w:val="24"/>
        </w:rPr>
        <w:t xml:space="preserve"> i i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nwestycja powstanie w etapach: </w:t>
      </w:r>
    </w:p>
    <w:p w14:paraId="6DD60802" w14:textId="77777777" w:rsidR="00427A33" w:rsidRDefault="00427A33" w:rsidP="00427A3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1 etap do 200 MW magazynów energii, </w:t>
      </w:r>
    </w:p>
    <w:p w14:paraId="46FE14A2" w14:textId="77777777" w:rsidR="00427A33" w:rsidRDefault="00427A33" w:rsidP="00427A3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 2 etap do 2 MW farmy fotowoltaicznej. </w:t>
      </w:r>
    </w:p>
    <w:p w14:paraId="1C6A77E0" w14:textId="77777777" w:rsidR="00427A33" w:rsidRDefault="00427A33" w:rsidP="004320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W trakcie wnioskowania o decyzję o środowiskowych uwarunkowaniach przedsięwzięcia inwestor nie może jednoznacznie określić terminu ani wielkości poszczególnych etapów. Jest to uzależnione od wielu czynników zewnętrznych, w tym dostępności do finansowania, dostępności komponentów itd. Pewne jest, że po zrealizowaniu wszystkich etapów, łączne parametry instalacji będą odpowiadały parametrom określonym we wniosku.  </w:t>
      </w:r>
    </w:p>
    <w:p w14:paraId="0D2D2CDC" w14:textId="1812498D" w:rsidR="00427A33" w:rsidRDefault="00432097" w:rsidP="00427A3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G</w:t>
      </w:r>
      <w:r w:rsidR="00427A33">
        <w:rPr>
          <w:rFonts w:ascii="Times New Roman" w:hAnsi="Times New Roman"/>
          <w:color w:val="000000" w:themeColor="text1"/>
          <w:sz w:val="24"/>
          <w:szCs w:val="24"/>
        </w:rPr>
        <w:t xml:space="preserve">łównym zadaniem magazynów energii będzie: </w:t>
      </w:r>
    </w:p>
    <w:p w14:paraId="191EAEF8" w14:textId="77777777" w:rsidR="00427A33" w:rsidRDefault="00427A33" w:rsidP="00427A3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•  kontrolowane pobieranie energii z sieci, </w:t>
      </w:r>
    </w:p>
    <w:p w14:paraId="492B18AA" w14:textId="77777777" w:rsidR="00427A33" w:rsidRDefault="00427A33" w:rsidP="00427A3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•  magazynowanie pobranej energii elektrycznej,  </w:t>
      </w:r>
    </w:p>
    <w:p w14:paraId="5450DDAA" w14:textId="14127510" w:rsidR="0029165F" w:rsidRDefault="00427A33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•  oddawanie energii elektrycznej do systemu elektroenergetycznego (w momentach jej największego zapotrzebowania), dzięki czemu możliwe będzie zachowanie energii                        w momencie szczytu produkcyjnego oraz bilansowanie sieci w cyklu dobowym, a co za tym idzie łagodzenie obciążenia sieci elektroenergetycznej. Przewidywana trwałość inwestycji to 25 lat. </w:t>
      </w:r>
    </w:p>
    <w:p w14:paraId="1AD0D110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3C79F59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184DD42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D3F59E0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07CA436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A0E84B3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275FC3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C2DF123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66FD65B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92923C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EBE625E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65E1D25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D426D2D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E71867B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E887E75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AD76793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63BE4BE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04FC524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72DB87B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2C0EAD2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C2F350A" w14:textId="77777777" w:rsidR="00CD34C5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3F9C572" w14:textId="77777777" w:rsidR="00CD34C5" w:rsidRPr="00423954" w:rsidRDefault="00CD34C5" w:rsidP="0042395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CD34C5" w:rsidRPr="00423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3"/>
    <w:rsid w:val="00070999"/>
    <w:rsid w:val="000E46BD"/>
    <w:rsid w:val="00120A5A"/>
    <w:rsid w:val="0029165F"/>
    <w:rsid w:val="002A4BF0"/>
    <w:rsid w:val="003956D5"/>
    <w:rsid w:val="00423954"/>
    <w:rsid w:val="00427A33"/>
    <w:rsid w:val="00432097"/>
    <w:rsid w:val="004E72FA"/>
    <w:rsid w:val="00535CE2"/>
    <w:rsid w:val="00631BE3"/>
    <w:rsid w:val="00757CAB"/>
    <w:rsid w:val="0085680E"/>
    <w:rsid w:val="008973EF"/>
    <w:rsid w:val="00975919"/>
    <w:rsid w:val="00A00C14"/>
    <w:rsid w:val="00A45271"/>
    <w:rsid w:val="00C375E3"/>
    <w:rsid w:val="00C9108A"/>
    <w:rsid w:val="00CD34C5"/>
    <w:rsid w:val="00E17753"/>
    <w:rsid w:val="00ED2935"/>
    <w:rsid w:val="00EE1BEF"/>
    <w:rsid w:val="00F3657A"/>
    <w:rsid w:val="00FE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EAF5"/>
  <w15:chartTrackingRefBased/>
  <w15:docId w15:val="{F77E23CB-51E6-4B47-9D25-D18A4AB3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A33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A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7A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7A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7A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7A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7A3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7A3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7A3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7A3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7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7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7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7A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7A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7A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7A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7A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7A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7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7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7A3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7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7A3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7A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7A3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27A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7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7A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7A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Selwiak</dc:creator>
  <cp:keywords/>
  <dc:description/>
  <cp:lastModifiedBy>Renata Selwiak</cp:lastModifiedBy>
  <cp:revision>21</cp:revision>
  <cp:lastPrinted>2026-09-28T12:57:00Z</cp:lastPrinted>
  <dcterms:created xsi:type="dcterms:W3CDTF">2026-09-24T08:14:00Z</dcterms:created>
  <dcterms:modified xsi:type="dcterms:W3CDTF">2026-09-28T12:57:00Z</dcterms:modified>
</cp:coreProperties>
</file>