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rPr>
          <w:sz w:val="36"/>
          <w:szCs w:val="36"/>
        </w:rPr>
      </w:pPr>
      <w:r>
        <w:rPr>
          <w:sz w:val="36"/>
          <w:szCs w:val="36"/>
        </w:rPr>
        <w:t>K O M U N I K A T</w:t>
      </w:r>
    </w:p>
    <w:p>
      <w:pPr>
        <w:pStyle w:val="Title"/>
        <w:rPr>
          <w:sz w:val="36"/>
          <w:szCs w:val="36"/>
        </w:rPr>
      </w:pPr>
      <w:r>
        <w:rPr>
          <w:sz w:val="36"/>
          <w:szCs w:val="36"/>
        </w:rPr>
        <w:t xml:space="preserve">Komisarzy Wyborczych w Pile </w:t>
      </w:r>
    </w:p>
    <w:p>
      <w:pPr>
        <w:pStyle w:val="NormalWeb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z dnia 15 kwietnia 2024 r.</w:t>
      </w:r>
    </w:p>
    <w:p>
      <w:pPr>
        <w:pStyle w:val="NormalWeb"/>
        <w:jc w:val="center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</w:r>
    </w:p>
    <w:p>
      <w:pPr>
        <w:pStyle w:val="NormalWeb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w sprawie przyjmowania zgłoszeń kandydatów do obwodowych komisji wyborczych z terenu powiatu chodzieskiego, czarnkowsko-trzcianeckiego, pilskiego, wągrowieckiego i złotowskiego</w:t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BodyText"/>
        <w:jc w:val="both"/>
        <w:rPr>
          <w:szCs w:val="28"/>
        </w:rPr>
      </w:pPr>
      <w:r>
        <w:rPr>
          <w:sz w:val="24"/>
          <w:szCs w:val="24"/>
        </w:rPr>
        <w:tab/>
      </w:r>
      <w:r>
        <w:rPr>
          <w:szCs w:val="28"/>
        </w:rPr>
        <w:t xml:space="preserve">Komisarze Wyborczy w Pile informują, że </w:t>
      </w:r>
      <w:r>
        <w:rPr>
          <w:rFonts w:eastAsia="Gungsuh"/>
          <w:color w:val="000000"/>
          <w:szCs w:val="28"/>
        </w:rPr>
        <w:t xml:space="preserve">związku z wyborami do </w:t>
      </w:r>
      <w:r>
        <w:rPr>
          <w:rStyle w:val="Strong"/>
          <w:rFonts w:eastAsia="Gungsuh"/>
          <w:szCs w:val="28"/>
        </w:rPr>
        <w:t xml:space="preserve">Parlamentu Europejskiego </w:t>
      </w:r>
      <w:r>
        <w:rPr>
          <w:rFonts w:eastAsia="Gungsuh"/>
          <w:color w:val="000000"/>
          <w:szCs w:val="28"/>
        </w:rPr>
        <w:t xml:space="preserve">zarządzonymi na dzień 9 czerwca 2024 r. </w:t>
      </w:r>
      <w:r>
        <w:rPr>
          <w:szCs w:val="28"/>
        </w:rPr>
        <w:t>powołają obwodowe komisje wyborcze.</w:t>
      </w:r>
    </w:p>
    <w:p>
      <w:pPr>
        <w:pStyle w:val="BodyText"/>
        <w:jc w:val="both"/>
        <w:rPr>
          <w:szCs w:val="28"/>
        </w:rPr>
      </w:pPr>
      <w:r>
        <w:rPr>
          <w:szCs w:val="28"/>
        </w:rPr>
      </w:r>
    </w:p>
    <w:p>
      <w:pPr>
        <w:pStyle w:val="BodyText"/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Zgłoszenia kandydatów przyjmują za pośrednictwem urzędu gminy urzędnicy wyborczy, właściwi dla gminy, na terenie której siedzibę ma dana komisja, w godzinach pracy Urzędu </w:t>
      </w:r>
    </w:p>
    <w:p>
      <w:pPr>
        <w:pStyle w:val="BodyText"/>
        <w:jc w:val="both"/>
        <w:rPr>
          <w:b/>
          <w:szCs w:val="28"/>
        </w:rPr>
      </w:pPr>
      <w:r>
        <w:rPr>
          <w:b/>
          <w:szCs w:val="28"/>
        </w:rPr>
      </w:r>
    </w:p>
    <w:p>
      <w:pPr>
        <w:pStyle w:val="BodyText"/>
        <w:jc w:val="center"/>
        <w:rPr>
          <w:sz w:val="36"/>
          <w:szCs w:val="36"/>
        </w:rPr>
      </w:pPr>
      <w:r>
        <w:rPr>
          <w:b/>
          <w:sz w:val="36"/>
          <w:szCs w:val="36"/>
        </w:rPr>
        <w:t>w terminie do  dnia 10 maja 2024 r.</w:t>
      </w:r>
    </w:p>
    <w:p>
      <w:pPr>
        <w:pStyle w:val="BodyText"/>
        <w:jc w:val="both"/>
        <w:rPr>
          <w:szCs w:val="28"/>
        </w:rPr>
      </w:pPr>
      <w:r>
        <w:rPr>
          <w:szCs w:val="28"/>
        </w:rPr>
      </w:r>
    </w:p>
    <w:p>
      <w:pPr>
        <w:pStyle w:val="BodyText"/>
        <w:jc w:val="both"/>
        <w:rPr>
          <w:szCs w:val="28"/>
        </w:rPr>
      </w:pPr>
      <w:r>
        <w:rPr>
          <w:szCs w:val="28"/>
        </w:rPr>
        <w:t>Uprawnionym do dokonania zgłoszenia jest pełnomocnik wyborczy (lub osoba przez niego upoważniona) reprezentujący komitet wyborczy utworzony przez partię polityczną bądź koalicję partii politycznych, z których list odpowiednio w ostatnich wyborach: wybrano radnych do sejmiku województwa albo wybrano posłów do Sejmu oraz pełnomocnik komitetu wyborczego (lub osoba przez niego upoważniona).</w:t>
      </w:r>
    </w:p>
    <w:p>
      <w:pPr>
        <w:pStyle w:val="BodyText"/>
        <w:jc w:val="both"/>
        <w:rPr>
          <w:szCs w:val="28"/>
        </w:rPr>
      </w:pPr>
      <w:r>
        <w:rPr>
          <w:szCs w:val="28"/>
        </w:rPr>
        <w:t>W przypadku, gdy zgłoszenia dokonuje osoba upoważniona przez pełnomocnika, przedkłada ona upoważnienie</w:t>
        <w:br/>
        <w:t>lub uwierzytelnioną kopię upoważnienia.</w:t>
      </w:r>
    </w:p>
    <w:p>
      <w:pPr>
        <w:pStyle w:val="BodyText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sz w:val="28"/>
          <w:szCs w:val="28"/>
        </w:rPr>
        <w:t>Kandydatem do składu komisji może być osoba, która stale zamieszkuje na terenie województwa, w którym jest zgłaszana do komisji i jest ujęta w Centralnym Rejestrze Wyborców w stałym obwodzie głosowania w jednej z gmin na obszarze tego województwa.</w:t>
      </w:r>
      <w:r>
        <w:rPr>
          <w:sz w:val="28"/>
          <w:szCs w:val="28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Kandydat spełniać musi ponadto niżej określone warunki:</w:t>
      </w:r>
    </w:p>
    <w:p>
      <w:pPr>
        <w:pStyle w:val="Normal"/>
        <w:numPr>
          <w:ilvl w:val="0"/>
          <w:numId w:val="1"/>
        </w:numPr>
        <w:ind w:hanging="357" w:left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jest obywatelem polskim, </w:t>
      </w:r>
    </w:p>
    <w:p>
      <w:pPr>
        <w:pStyle w:val="Normal"/>
        <w:numPr>
          <w:ilvl w:val="0"/>
          <w:numId w:val="1"/>
        </w:numPr>
        <w:ind w:hanging="357" w:left="697"/>
        <w:jc w:val="both"/>
        <w:rPr>
          <w:sz w:val="28"/>
          <w:szCs w:val="28"/>
        </w:rPr>
      </w:pPr>
      <w:r>
        <w:rPr>
          <w:sz w:val="28"/>
          <w:szCs w:val="28"/>
        </w:rPr>
        <w:t>najpóźniej w dniu zgłoszenia kończy 18 lat,</w:t>
      </w:r>
    </w:p>
    <w:p>
      <w:pPr>
        <w:pStyle w:val="Normal"/>
        <w:numPr>
          <w:ilvl w:val="0"/>
          <w:numId w:val="1"/>
        </w:numPr>
        <w:ind w:hanging="357" w:left="697"/>
        <w:jc w:val="both"/>
        <w:rPr>
          <w:sz w:val="28"/>
          <w:szCs w:val="28"/>
        </w:rPr>
      </w:pPr>
      <w:r>
        <w:rPr>
          <w:sz w:val="28"/>
          <w:szCs w:val="28"/>
        </w:rPr>
        <w:t>nie jest pozbawiony praw publicznych prawomocnym orzeczeniem sądu,</w:t>
      </w:r>
    </w:p>
    <w:p>
      <w:pPr>
        <w:pStyle w:val="Normal"/>
        <w:numPr>
          <w:ilvl w:val="0"/>
          <w:numId w:val="1"/>
        </w:numPr>
        <w:ind w:hanging="357" w:left="697"/>
        <w:jc w:val="both"/>
        <w:rPr>
          <w:sz w:val="28"/>
          <w:szCs w:val="28"/>
        </w:rPr>
      </w:pPr>
      <w:r>
        <w:rPr>
          <w:sz w:val="28"/>
          <w:szCs w:val="28"/>
        </w:rPr>
        <w:t>nie jest pozbawiony praw wyborczych orzeczeniem Trybunału Stanu,</w:t>
      </w:r>
    </w:p>
    <w:p>
      <w:pPr>
        <w:pStyle w:val="Normal"/>
        <w:numPr>
          <w:ilvl w:val="0"/>
          <w:numId w:val="1"/>
        </w:numPr>
        <w:ind w:hanging="357" w:left="697"/>
        <w:jc w:val="both"/>
        <w:rPr>
          <w:sz w:val="28"/>
          <w:szCs w:val="28"/>
        </w:rPr>
      </w:pPr>
      <w:r>
        <w:rPr>
          <w:sz w:val="28"/>
          <w:szCs w:val="28"/>
        </w:rPr>
        <w:t>nie jest ubezwłasnowolniony prawomocnym orzeczeniem sądu.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Kandydatem może być również obywatel Unii Europejskiej niebędący obywatelem polskim, który najpóźniej w dniu zgłoszenia kończy 18 lat i nie jest pozbawiony prawa wybierania w państwie członkowskim Unii Europejskiej, którego jest obywatelem.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Kandydatem nie może być: </w:t>
      </w:r>
    </w:p>
    <w:p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kandydat w wyborach,</w:t>
      </w:r>
    </w:p>
    <w:p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komisarz wyborczy, </w:t>
      </w:r>
    </w:p>
    <w:p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pełnomocnik wyborczy komitetu wyborczego,</w:t>
      </w:r>
    </w:p>
    <w:p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pełnomocnik finansowy komitetu wyborczego,</w:t>
      </w:r>
    </w:p>
    <w:p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urzędnik wyborczy,</w:t>
      </w:r>
    </w:p>
    <w:p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mąż zaufania, obserwator społeczny,</w:t>
      </w:r>
    </w:p>
    <w:p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pozostająca w stosunku do kandydata na radnego małżonkiem, wstępnym, zstępnym, rodzeństwem, małżonkiem zstępnego lub przysposobionego (jeżeli kandydat kandyduje w okręgu wyborczym, dla którego właściwa jest dana komisja),</w:t>
      </w:r>
    </w:p>
    <w:p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pełnomocnik, o którym mowa w art. 55 Kodeksu wyborczego, w komisji właściwej dla obwodu głosowania osoby udzielającej pełnomocnictwa do głosowania w jej imieniu.</w:t>
      </w:r>
    </w:p>
    <w:p>
      <w:pPr>
        <w:pStyle w:val="ListParagraph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osoba, która została upoważniona przez pełnomocnika komitetu wyborczego do wykonania czynności wyborczych</w:t>
        <w:br/>
        <w:t>w imieniu komitetu wyborczego.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br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Zgłoszenia kandydatów dokonywać należy na zgłoszeniach wg wzoru określonego przez Państwową Komisję Wyborczą, stanowiącego załącznik do Uchwały Nr 50/2023 Państwowej Komisji Wyborczej z dnia 14 sierpnia 2023 r. zmieniającą uchwałę w sprawie powoływania obwodowych komisji wyborczych w obwodach głosowania utworzonych w kraju,</w:t>
        <w:br/>
      </w:r>
      <w:bookmarkStart w:id="0" w:name="_GoBack"/>
      <w:bookmarkEnd w:id="0"/>
      <w:r>
        <w:rPr>
          <w:sz w:val="28"/>
          <w:szCs w:val="28"/>
        </w:rPr>
        <w:t xml:space="preserve">w wyborach do Sejmu Rzeczypospolitej Polskiej i do Senatu Rzeczypospolitej Polskiej, Prezydenta Rzeczypospolitej Polskiej oraz do Parlamentu Europejskiego.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Wzory zgłoszeń dostępne są na stronach internetowych: </w:t>
      </w:r>
      <w:r>
        <w:rPr>
          <w:b/>
          <w:sz w:val="28"/>
          <w:szCs w:val="28"/>
        </w:rPr>
        <w:t>pkw.gov.pl</w:t>
      </w:r>
      <w:r>
        <w:rPr>
          <w:sz w:val="28"/>
          <w:szCs w:val="28"/>
        </w:rPr>
        <w:t xml:space="preserve">  lub  </w:t>
      </w:r>
      <w:r>
        <w:rPr>
          <w:b/>
          <w:sz w:val="28"/>
          <w:szCs w:val="28"/>
        </w:rPr>
        <w:t xml:space="preserve">pila.kbw.gov.pl 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Druki zgłoszeń można otrzymać w Delegaturze Krajowego Biura Wyborczego w Pile. Wszelkie informacje związane</w:t>
        <w:br/>
        <w:t xml:space="preserve">ze zgłaszaniem kandydatów do obwodowych komisji wyborczych można uzyskać pod numerami telefonów: </w:t>
      </w:r>
      <w:r>
        <w:rPr>
          <w:b/>
          <w:sz w:val="28"/>
          <w:szCs w:val="28"/>
        </w:rPr>
        <w:t>67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215-28-71</w:t>
        <w:br/>
        <w:t>i 67  215-28-80.</w:t>
      </w:r>
    </w:p>
    <w:p>
      <w:pPr>
        <w:pStyle w:val="Heading1"/>
        <w:ind w:firstLine="708" w:left="5664"/>
        <w:jc w:val="both"/>
        <w:rPr>
          <w:szCs w:val="28"/>
        </w:rPr>
      </w:pPr>
      <w:r>
        <w:rPr>
          <w:szCs w:val="28"/>
        </w:rPr>
      </w:r>
    </w:p>
    <w:tbl>
      <w:tblPr>
        <w:tblStyle w:val="Tabela-Siatka"/>
        <w:tblpPr w:vertAnchor="text" w:horzAnchor="margin" w:tblpXSpec="center" w:leftFromText="141" w:rightFromText="141" w:tblpY="80"/>
        <w:tblW w:w="1048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97"/>
        <w:gridCol w:w="5387"/>
      </w:tblGrid>
      <w:tr>
        <w:trPr/>
        <w:tc>
          <w:tcPr>
            <w:tcW w:w="50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pl-PL" w:bidi="ar-SA"/>
              </w:rPr>
              <w:t>Komisarz Wyborczy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pl-PL" w:bidi="ar-SA"/>
              </w:rPr>
              <w:t>w Pile II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pl-PL" w:bidi="ar-SA"/>
              </w:rPr>
              <w:t>(-) Roma Dworzańska-Schulz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pl-PL" w:bidi="ar-SA"/>
              </w:rPr>
              <w:t>Komisarz Wyborczy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pl-PL" w:bidi="ar-SA"/>
              </w:rPr>
              <w:t>w Pile I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pl-PL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pl-PL" w:bidi="ar-SA"/>
              </w:rPr>
              <w:t>(-)  Mateusz Bartoszek</w:t>
            </w:r>
          </w:p>
        </w:tc>
      </w:tr>
    </w:tbl>
    <w:p>
      <w:pPr>
        <w:pStyle w:val="Heading1"/>
        <w:ind w:firstLine="708" w:left="5664"/>
        <w:jc w:val="both"/>
        <w:rPr>
          <w:b/>
          <w:szCs w:val="28"/>
        </w:rPr>
      </w:pPr>
      <w:r>
        <w:rPr>
          <w:b/>
          <w:szCs w:val="28"/>
        </w:rPr>
      </w:r>
    </w:p>
    <w:sectPr>
      <w:type w:val="nextPage"/>
      <w:pgSz w:w="16838" w:h="23811"/>
      <w:pgMar w:left="1418" w:right="1418" w:gutter="0" w:header="0" w:top="567" w:footer="0" w:bottom="39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c09fd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pl-PL" w:val="pl-PL" w:bidi="ar-SA"/>
    </w:rPr>
  </w:style>
  <w:style w:type="paragraph" w:styleId="Heading1">
    <w:name w:val="Heading 1"/>
    <w:basedOn w:val="Normal"/>
    <w:next w:val="Normal"/>
    <w:link w:val="Nagwek1Znak"/>
    <w:qFormat/>
    <w:rsid w:val="008c09fd"/>
    <w:pPr>
      <w:keepNext w:val="true"/>
      <w:outlineLvl w:val="0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sid w:val="008c09fd"/>
    <w:rPr>
      <w:rFonts w:ascii="Times New Roman" w:hAnsi="Times New Roman" w:eastAsia="Times New Roman" w:cs="Times New Roman"/>
      <w:sz w:val="28"/>
      <w:szCs w:val="20"/>
      <w:lang w:eastAsia="pl-PL"/>
    </w:rPr>
  </w:style>
  <w:style w:type="character" w:styleId="TytuZnak" w:customStyle="1">
    <w:name w:val="Tytuł Znak"/>
    <w:basedOn w:val="DefaultParagraphFont"/>
    <w:qFormat/>
    <w:rsid w:val="008c09fd"/>
    <w:rPr>
      <w:rFonts w:ascii="Times New Roman" w:hAnsi="Times New Roman" w:eastAsia="Times New Roman" w:cs="Times New Roman"/>
      <w:b/>
      <w:sz w:val="40"/>
      <w:szCs w:val="20"/>
      <w:lang w:eastAsia="pl-PL"/>
    </w:rPr>
  </w:style>
  <w:style w:type="character" w:styleId="TekstpodstawowyZnak" w:customStyle="1">
    <w:name w:val="Tekst podstawowy Znak"/>
    <w:basedOn w:val="DefaultParagraphFont"/>
    <w:qFormat/>
    <w:rsid w:val="008c09fd"/>
    <w:rPr>
      <w:rFonts w:ascii="Times New Roman" w:hAnsi="Times New Roman" w:eastAsia="Times New Roman" w:cs="Times New Roman"/>
      <w:sz w:val="28"/>
      <w:szCs w:val="20"/>
      <w:lang w:eastAsia="pl-PL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ee4623"/>
    <w:rPr>
      <w:rFonts w:ascii="Tahoma" w:hAnsi="Tahoma" w:eastAsia="Times New Roman" w:cs="Tahoma"/>
      <w:sz w:val="16"/>
      <w:szCs w:val="16"/>
      <w:lang w:eastAsia="pl-PL"/>
    </w:rPr>
  </w:style>
  <w:style w:type="character" w:styleId="Strong">
    <w:name w:val="Strong"/>
    <w:basedOn w:val="DefaultParagraphFont"/>
    <w:uiPriority w:val="22"/>
    <w:qFormat/>
    <w:rsid w:val="004d3b8e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8c09fd"/>
    <w:pPr/>
    <w:rPr>
      <w:sz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link w:val="TytuZnak"/>
    <w:qFormat/>
    <w:rsid w:val="008c09fd"/>
    <w:pPr>
      <w:jc w:val="center"/>
    </w:pPr>
    <w:rPr>
      <w:b/>
      <w:sz w:val="40"/>
    </w:rPr>
  </w:style>
  <w:style w:type="paragraph" w:styleId="NormalWeb">
    <w:name w:val="Normal (Web)"/>
    <w:basedOn w:val="Normal"/>
    <w:qFormat/>
    <w:rsid w:val="008c09fd"/>
    <w:pPr>
      <w:spacing w:before="0" w:after="120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8c09fd"/>
    <w:pPr>
      <w:spacing w:before="0" w:after="0"/>
      <w:ind w:lef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e4623"/>
    <w:pPr/>
    <w:rPr>
      <w:rFonts w:ascii="Tahoma" w:hAnsi="Tahoma" w:cs="Tahoma"/>
      <w:sz w:val="16"/>
      <w:szCs w:val="16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227bd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1BB1FB-5DDB-4A88-980D-96564F3F2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LibreOffice/24.2.2.2$Windows_X86_64 LibreOffice_project/d56cc158d8a96260b836f100ef4b4ef25d6f1a01</Application>
  <AppVersion>15.0000</AppVersion>
  <Pages>2</Pages>
  <Words>485</Words>
  <Characters>3144</Characters>
  <CharactersWithSpaces>3595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2024-04-11T12:27:00Z</dcterms:created>
  <dc:creator>Renata</dc:creator>
  <dc:description/>
  <dc:language>pl-PL</dc:language>
  <cp:lastModifiedBy>Ludmiła Laskowska-Tymiec</cp:lastModifiedBy>
  <cp:lastPrinted>2024-02-07T10:52:00Z</cp:lastPrinted>
  <dcterms:modified xsi:type="dcterms:W3CDTF">2024-04-11T12:27:00Z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