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bidi w:val="0"/>
        <w:spacing w:before="0" w:after="240" w:line="240" w:lineRule="auto"/>
        <w:ind w:left="0" w:right="0" w:firstLine="0"/>
        <w:jc w:val="center"/>
      </w:pPr>
      <w:r>
        <w:rPr>
          <w:rStyle w:val="CharStyle3"/>
          <w:b/>
          <w:bCs/>
        </w:rPr>
        <w:t>UCHWAŁA NR XIV/115/2019</w:t>
        <w:br/>
        <w:t>RADY GMINY SKĄPE</w:t>
      </w:r>
    </w:p>
    <w:p>
      <w:pPr>
        <w:pStyle w:val="Style2"/>
        <w:keepNext w:val="0"/>
        <w:keepLines w:val="0"/>
        <w:widowControl w:val="0"/>
        <w:shd w:val="clear" w:color="auto" w:fill="auto"/>
        <w:bidi w:val="0"/>
        <w:spacing w:before="0" w:after="240" w:line="240" w:lineRule="auto"/>
        <w:ind w:left="0" w:right="0" w:firstLine="0"/>
        <w:jc w:val="center"/>
      </w:pPr>
      <w:r>
        <w:rPr>
          <w:rStyle w:val="CharStyle3"/>
        </w:rPr>
        <w:t>z dnia 20 listopada 2019 r.</w:t>
      </w:r>
    </w:p>
    <w:p>
      <w:pPr>
        <w:pStyle w:val="Style2"/>
        <w:keepNext w:val="0"/>
        <w:keepLines w:val="0"/>
        <w:widowControl w:val="0"/>
        <w:shd w:val="clear" w:color="auto" w:fill="auto"/>
        <w:bidi w:val="0"/>
        <w:spacing w:before="0" w:after="440" w:line="240" w:lineRule="auto"/>
        <w:ind w:left="0" w:right="0" w:firstLine="0"/>
        <w:jc w:val="center"/>
      </w:pPr>
      <w:r>
        <w:rPr>
          <w:rStyle w:val="CharStyle3"/>
          <w:b/>
          <w:bCs/>
        </w:rPr>
        <w:t>w sprawie wysokości stawek podatku od środków transportowych na terenie Gminy Skąpe</w:t>
      </w:r>
    </w:p>
    <w:p>
      <w:pPr>
        <w:pStyle w:val="Style2"/>
        <w:keepNext w:val="0"/>
        <w:keepLines w:val="0"/>
        <w:widowControl w:val="0"/>
        <w:shd w:val="clear" w:color="auto" w:fill="auto"/>
        <w:bidi w:val="0"/>
        <w:spacing w:before="0" w:line="240" w:lineRule="auto"/>
        <w:ind w:left="0" w:right="0"/>
        <w:jc w:val="both"/>
      </w:pPr>
      <w:r>
        <w:rPr>
          <w:rStyle w:val="CharStyle3"/>
          <w:i/>
          <w:iCs/>
        </w:rPr>
        <w:t xml:space="preserve">Na podstawie art. 18 ust. 2 pkt 8, art. 40 ust. 1 ustawy z dnia 08 marca 1990 r. o samorządzie gminnym (Dz.U. z 2019 r. poz. 506 z późn. zm.), art. 10 ustawy z dnia 12 stycznia 1991 r. o podatkach i opłatach lokalnych (Dz. U. z 2019 r. poz. 1170 z późn.zm.), </w:t>
      </w:r>
      <w:r>
        <w:rPr>
          <w:rStyle w:val="CharStyle3"/>
          <w:b/>
          <w:bCs/>
          <w:i/>
          <w:iCs/>
        </w:rPr>
        <w:t>uchwala się, co następuje:</w:t>
      </w:r>
    </w:p>
    <w:p>
      <w:pPr>
        <w:pStyle w:val="Style2"/>
        <w:keepNext w:val="0"/>
        <w:keepLines w:val="0"/>
        <w:widowControl w:val="0"/>
        <w:numPr>
          <w:ilvl w:val="0"/>
          <w:numId w:val="1"/>
        </w:numPr>
        <w:shd w:val="clear" w:color="auto" w:fill="auto"/>
        <w:tabs>
          <w:tab w:pos="872" w:val="left"/>
        </w:tabs>
        <w:bidi w:val="0"/>
        <w:spacing w:before="0" w:line="240" w:lineRule="auto"/>
        <w:ind w:left="0" w:right="0" w:firstLine="360"/>
        <w:jc w:val="both"/>
      </w:pPr>
      <w:r>
        <w:rPr>
          <w:rStyle w:val="CharStyle3"/>
        </w:rPr>
        <w:t>Stawki podatku od środków transportowych wynoszą rocznie:</w:t>
      </w:r>
    </w:p>
    <w:p>
      <w:pPr>
        <w:pStyle w:val="Style2"/>
        <w:keepNext w:val="0"/>
        <w:keepLines w:val="0"/>
        <w:widowControl w:val="0"/>
        <w:numPr>
          <w:ilvl w:val="0"/>
          <w:numId w:val="3"/>
        </w:numPr>
        <w:shd w:val="clear" w:color="auto" w:fill="auto"/>
        <w:tabs>
          <w:tab w:pos="685" w:val="left"/>
        </w:tabs>
        <w:bidi w:val="0"/>
        <w:spacing w:before="0" w:line="240" w:lineRule="auto"/>
        <w:ind w:left="0" w:right="0" w:firstLine="360"/>
        <w:jc w:val="both"/>
      </w:pPr>
      <w:r>
        <w:rPr>
          <w:rStyle w:val="CharStyle3"/>
        </w:rPr>
        <w:t>Samochody ciężarowe o dopuszczalnej masie całkowitej:</w:t>
      </w:r>
    </w:p>
    <w:p>
      <w:pPr>
        <w:pStyle w:val="Style2"/>
        <w:keepNext w:val="0"/>
        <w:keepLines w:val="0"/>
        <w:widowControl w:val="0"/>
        <w:numPr>
          <w:ilvl w:val="0"/>
          <w:numId w:val="5"/>
        </w:numPr>
        <w:shd w:val="clear" w:color="auto" w:fill="auto"/>
        <w:tabs>
          <w:tab w:pos="349" w:val="left"/>
        </w:tabs>
        <w:bidi w:val="0"/>
        <w:spacing w:before="0" w:line="240" w:lineRule="auto"/>
        <w:ind w:left="0" w:right="0" w:firstLine="0"/>
        <w:jc w:val="both"/>
      </w:pPr>
      <w:r>
        <w:rPr>
          <w:rStyle w:val="CharStyle3"/>
        </w:rPr>
        <w:t>powyżej 3,5 ton do 5,5 ton włącznie - 847,00 zł;</w:t>
      </w:r>
    </w:p>
    <w:p>
      <w:pPr>
        <w:pStyle w:val="Style2"/>
        <w:keepNext w:val="0"/>
        <w:keepLines w:val="0"/>
        <w:widowControl w:val="0"/>
        <w:numPr>
          <w:ilvl w:val="0"/>
          <w:numId w:val="5"/>
        </w:numPr>
        <w:shd w:val="clear" w:color="auto" w:fill="auto"/>
        <w:tabs>
          <w:tab w:pos="373" w:val="left"/>
        </w:tabs>
        <w:bidi w:val="0"/>
        <w:spacing w:before="0" w:line="240" w:lineRule="auto"/>
        <w:ind w:left="0" w:right="0" w:firstLine="0"/>
        <w:jc w:val="both"/>
      </w:pPr>
      <w:r>
        <w:rPr>
          <w:rStyle w:val="CharStyle3"/>
        </w:rPr>
        <w:t>powyżej 5,5 ton do 9 ton włącznie - 1.414,00 zł;</w:t>
      </w:r>
    </w:p>
    <w:p>
      <w:pPr>
        <w:pStyle w:val="Style2"/>
        <w:keepNext w:val="0"/>
        <w:keepLines w:val="0"/>
        <w:widowControl w:val="0"/>
        <w:numPr>
          <w:ilvl w:val="0"/>
          <w:numId w:val="5"/>
        </w:numPr>
        <w:shd w:val="clear" w:color="auto" w:fill="auto"/>
        <w:tabs>
          <w:tab w:pos="349" w:val="left"/>
        </w:tabs>
        <w:bidi w:val="0"/>
        <w:spacing w:before="0" w:line="240" w:lineRule="auto"/>
        <w:ind w:left="0" w:right="0" w:firstLine="0"/>
        <w:jc w:val="both"/>
      </w:pPr>
      <w:r>
        <w:rPr>
          <w:rStyle w:val="CharStyle3"/>
        </w:rPr>
        <w:t>powyżej 9 ton i poniżej 12 ton - 1.696,00 zł.</w:t>
      </w:r>
    </w:p>
    <w:p>
      <w:pPr>
        <w:pStyle w:val="Style2"/>
        <w:keepNext w:val="0"/>
        <w:keepLines w:val="0"/>
        <w:widowControl w:val="0"/>
        <w:numPr>
          <w:ilvl w:val="0"/>
          <w:numId w:val="3"/>
        </w:numPr>
        <w:shd w:val="clear" w:color="auto" w:fill="auto"/>
        <w:tabs>
          <w:tab w:pos="704" w:val="left"/>
        </w:tabs>
        <w:bidi w:val="0"/>
        <w:spacing w:before="0" w:after="520" w:line="240" w:lineRule="auto"/>
        <w:ind w:left="0" w:right="0" w:firstLine="360"/>
        <w:jc w:val="both"/>
      </w:pPr>
      <w:r>
        <w:rPr>
          <w:rStyle w:val="CharStyle3"/>
        </w:rPr>
        <w:t>Samochody ciężarowe o dopuszczalnej masie całkowitej równej lub wyższej niż 12 ton:</w:t>
      </w:r>
    </w:p>
    <w:tbl>
      <w:tblPr>
        <w:tblOverlap w:val="never"/>
        <w:jc w:val="left"/>
        <w:tblLayout w:type="fixed"/>
      </w:tblPr>
      <w:tblGrid>
        <w:gridCol w:w="1810"/>
        <w:gridCol w:w="1512"/>
        <w:gridCol w:w="1469"/>
        <w:gridCol w:w="1406"/>
      </w:tblGrid>
      <w:tr>
        <w:trPr>
          <w:trHeight w:val="490" w:hRule="exact"/>
        </w:trPr>
        <w:tc>
          <w:tcPr>
            <w:gridSpan w:val="2"/>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30" w:lineRule="auto"/>
              <w:ind w:left="0" w:right="0" w:firstLine="0"/>
              <w:jc w:val="center"/>
              <w:rPr>
                <w:sz w:val="20"/>
                <w:szCs w:val="20"/>
              </w:rPr>
            </w:pPr>
            <w:r>
              <w:rPr>
                <w:rStyle w:val="CharStyle8"/>
                <w:rFonts w:ascii="Arial" w:eastAsia="Arial" w:hAnsi="Arial" w:cs="Arial"/>
                <w:color w:val="090C21"/>
                <w:sz w:val="20"/>
                <w:szCs w:val="20"/>
              </w:rPr>
              <w:t>Liczba osi i dopuszczalna masa całkowita (w tonach)</w:t>
            </w:r>
          </w:p>
        </w:tc>
        <w:tc>
          <w:tcPr>
            <w:gridSpan w:val="2"/>
            <w:tcBorders>
              <w:top w:val="single" w:sz="4"/>
              <w:left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sz w:val="20"/>
                <w:szCs w:val="20"/>
              </w:rPr>
              <w:t>Stawka podatku</w:t>
            </w:r>
          </w:p>
        </w:tc>
      </w:tr>
      <w:tr>
        <w:trPr>
          <w:trHeight w:val="1858" w:hRule="exact"/>
        </w:trPr>
        <w:tc>
          <w:tcPr>
            <w:tcBorders>
              <w:top w:val="single" w:sz="4"/>
              <w:lef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Nie mniej niż</w:t>
            </w:r>
          </w:p>
        </w:tc>
        <w:tc>
          <w:tcPr>
            <w:tcBorders>
              <w:top w:val="single" w:sz="4"/>
              <w:lef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mniej niż</w:t>
            </w:r>
          </w:p>
        </w:tc>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 xml:space="preserve">oś jezdna </w:t>
            </w:r>
            <w:r>
              <w:rPr>
                <w:rStyle w:val="CharStyle8"/>
                <w:rFonts w:ascii="Arial" w:eastAsia="Arial" w:hAnsi="Arial" w:cs="Arial"/>
                <w:color w:val="201826"/>
                <w:sz w:val="19"/>
                <w:szCs w:val="19"/>
              </w:rPr>
              <w:t>(osie jezdne)</w:t>
            </w:r>
            <w:r>
              <w:rPr>
                <w:rStyle w:val="CharStyle8"/>
                <w:rFonts w:ascii="Arial" w:eastAsia="Arial" w:hAnsi="Arial" w:cs="Arial"/>
                <w:sz w:val="19"/>
                <w:szCs w:val="19"/>
              </w:rPr>
              <w:t xml:space="preserve">z </w:t>
            </w:r>
            <w:r>
              <w:rPr>
                <w:rStyle w:val="CharStyle8"/>
                <w:rFonts w:ascii="Arial" w:eastAsia="Arial" w:hAnsi="Arial" w:cs="Arial"/>
                <w:color w:val="201826"/>
                <w:sz w:val="19"/>
                <w:szCs w:val="19"/>
              </w:rPr>
              <w:t xml:space="preserve">zawieszeniem pneumatycznym lub </w:t>
            </w:r>
            <w:r>
              <w:rPr>
                <w:rStyle w:val="CharStyle8"/>
                <w:rFonts w:ascii="Arial" w:eastAsia="Arial" w:hAnsi="Arial" w:cs="Arial"/>
                <w:sz w:val="19"/>
                <w:szCs w:val="19"/>
              </w:rPr>
              <w:t xml:space="preserve">' </w:t>
            </w:r>
            <w:r>
              <w:rPr>
                <w:rStyle w:val="CharStyle8"/>
                <w:rFonts w:ascii="Arial" w:eastAsia="Arial" w:hAnsi="Arial" w:cs="Arial"/>
                <w:color w:val="201826"/>
                <w:sz w:val="19"/>
                <w:szCs w:val="19"/>
              </w:rPr>
              <w:t>zawieszeniem</w:t>
            </w:r>
          </w:p>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 xml:space="preserve">uznanym </w:t>
            </w:r>
            <w:r>
              <w:rPr>
                <w:rStyle w:val="CharStyle8"/>
                <w:rFonts w:ascii="Arial" w:eastAsia="Arial" w:hAnsi="Arial" w:cs="Arial"/>
                <w:sz w:val="19"/>
                <w:szCs w:val="19"/>
              </w:rPr>
              <w:t xml:space="preserve">za </w:t>
            </w:r>
            <w:r>
              <w:rPr>
                <w:rStyle w:val="CharStyle8"/>
                <w:rFonts w:ascii="Arial" w:eastAsia="Arial" w:hAnsi="Arial" w:cs="Arial"/>
                <w:color w:val="201826"/>
                <w:sz w:val="19"/>
                <w:szCs w:val="19"/>
              </w:rPr>
              <w:t>równoważne</w:t>
            </w:r>
          </w:p>
        </w:tc>
        <w:tc>
          <w:tcPr>
            <w:tcBorders>
              <w:top w:val="single" w:sz="4"/>
              <w:left w:val="single" w:sz="4"/>
              <w:righ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 xml:space="preserve">inne systemy </w:t>
            </w:r>
            <w:r>
              <w:rPr>
                <w:rStyle w:val="CharStyle8"/>
                <w:rFonts w:ascii="Arial" w:eastAsia="Arial" w:hAnsi="Arial" w:cs="Arial"/>
                <w:sz w:val="19"/>
                <w:szCs w:val="19"/>
              </w:rPr>
              <w:t xml:space="preserve">zawieszenia osi </w:t>
            </w:r>
            <w:r>
              <w:rPr>
                <w:rStyle w:val="CharStyle8"/>
                <w:rFonts w:ascii="Arial" w:eastAsia="Arial" w:hAnsi="Arial" w:cs="Arial"/>
                <w:color w:val="201826"/>
                <w:sz w:val="19"/>
                <w:szCs w:val="19"/>
              </w:rPr>
              <w:t>jezdnych</w:t>
            </w:r>
          </w:p>
        </w:tc>
      </w:tr>
      <w:tr>
        <w:trPr>
          <w:trHeight w:val="254"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DWIE OSIE</w:t>
            </w:r>
          </w:p>
        </w:tc>
      </w:tr>
      <w:tr>
        <w:trPr>
          <w:trHeight w:val="264"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12</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13</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2.500,00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2.550,00</w:t>
            </w:r>
          </w:p>
        </w:tc>
      </w:tr>
      <w:tr>
        <w:trPr>
          <w:trHeight w:val="24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13</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14</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2.550,00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2.600,00</w:t>
            </w:r>
          </w:p>
        </w:tc>
      </w:tr>
      <w:tr>
        <w:trPr>
          <w:trHeight w:val="283"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132445"/>
                <w:sz w:val="19"/>
                <w:szCs w:val="19"/>
              </w:rPr>
              <w:t>14</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15</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2.600,00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2.650,00</w:t>
            </w:r>
          </w:p>
        </w:tc>
      </w:tr>
      <w:tr>
        <w:trPr>
          <w:trHeight w:val="254" w:hRule="exact"/>
        </w:trPr>
        <w:tc>
          <w:tcPr>
            <w:gridSpan w:val="2"/>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 xml:space="preserve">15 ton </w:t>
            </w:r>
            <w:r>
              <w:rPr>
                <w:rStyle w:val="CharStyle8"/>
                <w:rFonts w:ascii="Arial" w:eastAsia="Arial" w:hAnsi="Arial" w:cs="Arial"/>
                <w:color w:val="483948"/>
                <w:sz w:val="19"/>
                <w:szCs w:val="19"/>
              </w:rPr>
              <w:t xml:space="preserve">i </w:t>
            </w:r>
            <w:r>
              <w:rPr>
                <w:rStyle w:val="CharStyle8"/>
                <w:rFonts w:ascii="Arial" w:eastAsia="Arial" w:hAnsi="Arial" w:cs="Arial"/>
                <w:color w:val="201826"/>
                <w:sz w:val="19"/>
                <w:szCs w:val="19"/>
              </w:rPr>
              <w:t>więcej</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2.650,00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2.700,00</w:t>
            </w:r>
          </w:p>
        </w:tc>
      </w:tr>
      <w:tr>
        <w:trPr>
          <w:trHeight w:val="250"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TRZY OSIE</w:t>
            </w:r>
          </w:p>
        </w:tc>
      </w:tr>
      <w:tr>
        <w:trPr>
          <w:trHeight w:val="254" w:hRule="exact"/>
        </w:trPr>
        <w:tc>
          <w:tcPr>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12</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17</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2.550,00</w:t>
            </w:r>
          </w:p>
        </w:tc>
        <w:tc>
          <w:tcPr>
            <w:tcBorders>
              <w:top w:val="single" w:sz="4"/>
              <w:left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2.600,00</w:t>
            </w:r>
          </w:p>
        </w:tc>
      </w:tr>
      <w:tr>
        <w:trPr>
          <w:trHeight w:val="283"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132445"/>
                <w:sz w:val="19"/>
                <w:szCs w:val="19"/>
              </w:rPr>
              <w:t>17</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19</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2.600,00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2.650,00</w:t>
            </w:r>
          </w:p>
        </w:tc>
      </w:tr>
      <w:tr>
        <w:trPr>
          <w:trHeight w:val="25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19</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132445"/>
                <w:sz w:val="19"/>
                <w:szCs w:val="19"/>
              </w:rPr>
              <w:t>21</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2.650,00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2.700,00</w:t>
            </w:r>
          </w:p>
        </w:tc>
      </w:tr>
      <w:tr>
        <w:trPr>
          <w:trHeight w:val="254" w:hRule="exact"/>
        </w:trPr>
        <w:tc>
          <w:tcPr>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21</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23</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2.700,00</w:t>
            </w:r>
          </w:p>
        </w:tc>
        <w:tc>
          <w:tcPr>
            <w:tcBorders>
              <w:top w:val="single" w:sz="4"/>
              <w:left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2.750,00</w:t>
            </w:r>
          </w:p>
        </w:tc>
      </w:tr>
      <w:tr>
        <w:trPr>
          <w:trHeight w:val="283"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23</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25</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2.750,00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2.800,00</w:t>
            </w:r>
          </w:p>
        </w:tc>
      </w:tr>
      <w:tr>
        <w:trPr>
          <w:trHeight w:val="254" w:hRule="exact"/>
        </w:trPr>
        <w:tc>
          <w:tcPr>
            <w:gridSpan w:val="2"/>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 xml:space="preserve">25 </w:t>
            </w:r>
            <w:r>
              <w:rPr>
                <w:rStyle w:val="CharStyle8"/>
                <w:rFonts w:ascii="Arial" w:eastAsia="Arial" w:hAnsi="Arial" w:cs="Arial"/>
                <w:color w:val="201826"/>
                <w:sz w:val="19"/>
                <w:szCs w:val="19"/>
              </w:rPr>
              <w:t xml:space="preserve">ton </w:t>
            </w:r>
            <w:r>
              <w:rPr>
                <w:rStyle w:val="CharStyle8"/>
                <w:rFonts w:ascii="Arial" w:eastAsia="Arial" w:hAnsi="Arial" w:cs="Arial"/>
                <w:color w:val="483948"/>
                <w:sz w:val="19"/>
                <w:szCs w:val="19"/>
              </w:rPr>
              <w:t xml:space="preserve">i </w:t>
            </w:r>
            <w:r>
              <w:rPr>
                <w:rStyle w:val="CharStyle8"/>
                <w:rFonts w:ascii="Arial" w:eastAsia="Arial" w:hAnsi="Arial" w:cs="Arial"/>
                <w:color w:val="201826"/>
                <w:sz w:val="19"/>
                <w:szCs w:val="19"/>
              </w:rPr>
              <w:t>więcej</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2.800,00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2.850,00</w:t>
            </w:r>
          </w:p>
        </w:tc>
      </w:tr>
      <w:tr>
        <w:trPr>
          <w:trHeight w:val="250" w:hRule="exact"/>
        </w:trPr>
        <w:tc>
          <w:tcPr>
            <w:gridSpan w:val="4"/>
            <w:tcBorders>
              <w:top w:val="single" w:sz="4"/>
              <w:left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CZTERY OSIE I WIĘCEJ</w:t>
            </w:r>
          </w:p>
        </w:tc>
      </w:tr>
      <w:tr>
        <w:trPr>
          <w:trHeight w:val="254" w:hRule="exact"/>
        </w:trPr>
        <w:tc>
          <w:tcPr>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12</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25</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3.000,00</w:t>
            </w:r>
          </w:p>
        </w:tc>
        <w:tc>
          <w:tcPr>
            <w:tcBorders>
              <w:top w:val="single" w:sz="4"/>
              <w:left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3.050,00</w:t>
            </w:r>
          </w:p>
        </w:tc>
      </w:tr>
      <w:tr>
        <w:trPr>
          <w:trHeight w:val="283"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25</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27</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3.050,00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3.100,00</w:t>
            </w:r>
          </w:p>
        </w:tc>
      </w:tr>
      <w:tr>
        <w:trPr>
          <w:trHeight w:val="254"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27</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29</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color w:val="201826"/>
                <w:sz w:val="19"/>
                <w:szCs w:val="19"/>
              </w:rPr>
              <w:t>3.100,00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3.150,00</w:t>
            </w:r>
          </w:p>
        </w:tc>
      </w:tr>
      <w:tr>
        <w:trPr>
          <w:trHeight w:val="25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sz w:val="19"/>
                <w:szCs w:val="19"/>
              </w:rPr>
              <w:t>29</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132445"/>
                <w:sz w:val="19"/>
                <w:szCs w:val="19"/>
              </w:rPr>
              <w:t>31</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color w:val="201826"/>
                <w:sz w:val="19"/>
                <w:szCs w:val="19"/>
              </w:rPr>
              <w:t>3.150,00</w:t>
            </w:r>
          </w:p>
        </w:tc>
        <w:tc>
          <w:tcPr>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3.200,00</w:t>
            </w:r>
          </w:p>
        </w:tc>
      </w:tr>
      <w:tr>
        <w:trPr>
          <w:trHeight w:val="278" w:hRule="exact"/>
        </w:trPr>
        <w:tc>
          <w:tcPr>
            <w:gridSpan w:val="2"/>
            <w:tcBorders>
              <w:top w:val="single" w:sz="4"/>
              <w:left w:val="single" w:sz="4"/>
              <w:bottom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9"/>
                <w:szCs w:val="19"/>
              </w:rPr>
            </w:pPr>
            <w:r>
              <w:rPr>
                <w:rStyle w:val="CharStyle8"/>
                <w:rFonts w:ascii="Arial" w:eastAsia="Arial" w:hAnsi="Arial" w:cs="Arial"/>
                <w:color w:val="201826"/>
                <w:sz w:val="19"/>
                <w:szCs w:val="19"/>
              </w:rPr>
              <w:t>powyżej 31 ton</w:t>
            </w:r>
          </w:p>
        </w:tc>
        <w:tc>
          <w:tcPr>
            <w:tcBorders>
              <w:top w:val="single" w:sz="4"/>
              <w:bottom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300"/>
              <w:jc w:val="left"/>
              <w:rPr>
                <w:sz w:val="19"/>
                <w:szCs w:val="19"/>
              </w:rPr>
            </w:pPr>
            <w:r>
              <w:rPr>
                <w:rStyle w:val="CharStyle8"/>
                <w:rFonts w:ascii="Arial" w:eastAsia="Arial" w:hAnsi="Arial" w:cs="Arial"/>
                <w:sz w:val="19"/>
                <w:szCs w:val="19"/>
              </w:rPr>
              <w:t>3.200,00</w:t>
            </w:r>
          </w:p>
        </w:tc>
        <w:tc>
          <w:tcPr>
            <w:tcBorders>
              <w:top w:val="single" w:sz="4"/>
              <w:left w:val="single" w:sz="4"/>
              <w:bottom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280"/>
              <w:jc w:val="left"/>
              <w:rPr>
                <w:sz w:val="19"/>
                <w:szCs w:val="19"/>
              </w:rPr>
            </w:pPr>
            <w:r>
              <w:rPr>
                <w:rStyle w:val="CharStyle8"/>
                <w:rFonts w:ascii="Arial" w:eastAsia="Arial" w:hAnsi="Arial" w:cs="Arial"/>
                <w:sz w:val="19"/>
                <w:szCs w:val="19"/>
              </w:rPr>
              <w:t>3.238,00</w:t>
            </w:r>
          </w:p>
        </w:tc>
      </w:tr>
    </w:tbl>
    <w:p>
      <w:pPr>
        <w:widowControl w:val="0"/>
        <w:spacing w:after="159" w:line="1" w:lineRule="exact"/>
      </w:pPr>
    </w:p>
    <w:p>
      <w:pPr>
        <w:pStyle w:val="Style2"/>
        <w:keepNext w:val="0"/>
        <w:keepLines w:val="0"/>
        <w:widowControl w:val="0"/>
        <w:numPr>
          <w:ilvl w:val="0"/>
          <w:numId w:val="3"/>
        </w:numPr>
        <w:shd w:val="clear" w:color="auto" w:fill="auto"/>
        <w:tabs>
          <w:tab w:pos="699" w:val="left"/>
          <w:tab w:pos="1577" w:val="left"/>
          <w:tab w:pos="2509" w:val="left"/>
          <w:tab w:pos="7002" w:val="left"/>
          <w:tab w:pos="7808" w:val="left"/>
          <w:tab w:pos="8869" w:val="left"/>
          <w:tab w:pos="9330" w:val="left"/>
        </w:tabs>
        <w:bidi w:val="0"/>
        <w:spacing w:before="0" w:after="0" w:line="240" w:lineRule="auto"/>
        <w:ind w:left="0" w:right="0" w:firstLine="360"/>
        <w:jc w:val="both"/>
      </w:pPr>
      <w:r>
        <w:rPr>
          <w:rStyle w:val="CharStyle3"/>
        </w:rPr>
        <w:t>Ciągniki</w:t>
        <w:tab/>
        <w:t>siodłowe</w:t>
        <w:tab/>
        <w:t>lub balastowe przystosowane do używania</w:t>
        <w:tab/>
        <w:t>łącznie</w:t>
        <w:tab/>
        <w:t>z naczepą</w:t>
        <w:tab/>
        <w:t>lub</w:t>
        <w:tab/>
        <w:t>przyczepą</w:t>
      </w:r>
    </w:p>
    <w:p>
      <w:pPr>
        <w:pStyle w:val="Style2"/>
        <w:keepNext w:val="0"/>
        <w:keepLines w:val="0"/>
        <w:widowControl w:val="0"/>
        <w:shd w:val="clear" w:color="auto" w:fill="auto"/>
        <w:bidi w:val="0"/>
        <w:spacing w:before="0" w:line="240" w:lineRule="auto"/>
        <w:ind w:left="0" w:right="0" w:firstLine="0"/>
        <w:jc w:val="both"/>
      </w:pPr>
      <w:r>
        <w:rPr>
          <w:rStyle w:val="CharStyle3"/>
        </w:rPr>
        <w:t>o dopuszczalnej masie całkowitej zespołu pojazdów od 3,5 tony i poniżej 12 ton - 1.979,00 zł.</w:t>
      </w:r>
    </w:p>
    <w:p>
      <w:pPr>
        <w:pStyle w:val="Style2"/>
        <w:keepNext w:val="0"/>
        <w:keepLines w:val="0"/>
        <w:widowControl w:val="0"/>
        <w:numPr>
          <w:ilvl w:val="0"/>
          <w:numId w:val="3"/>
        </w:numPr>
        <w:shd w:val="clear" w:color="auto" w:fill="auto"/>
        <w:tabs>
          <w:tab w:pos="704" w:val="left"/>
          <w:tab w:pos="1577" w:val="left"/>
          <w:tab w:pos="2523" w:val="left"/>
          <w:tab w:pos="6973" w:val="left"/>
          <w:tab w:pos="7789" w:val="left"/>
          <w:tab w:pos="8859" w:val="left"/>
          <w:tab w:pos="9325" w:val="left"/>
        </w:tabs>
        <w:bidi w:val="0"/>
        <w:spacing w:before="0" w:after="0" w:line="240" w:lineRule="auto"/>
        <w:ind w:left="0" w:right="0" w:firstLine="360"/>
        <w:jc w:val="both"/>
      </w:pPr>
      <w:r>
        <w:rPr>
          <w:rStyle w:val="CharStyle3"/>
        </w:rPr>
        <w:t>Ciągniki</w:t>
        <w:tab/>
        <w:t>siodłowe</w:t>
        <w:tab/>
        <w:t>i balastowe przystosowane do użytkowania</w:t>
        <w:tab/>
        <w:t>łącznie</w:t>
        <w:tab/>
        <w:t>z naczepą</w:t>
        <w:tab/>
        <w:t>lub</w:t>
        <w:tab/>
        <w:t>przyczepą</w:t>
      </w:r>
    </w:p>
    <w:p>
      <w:pPr>
        <w:pStyle w:val="Style2"/>
        <w:keepNext w:val="0"/>
        <w:keepLines w:val="0"/>
        <w:widowControl w:val="0"/>
        <w:shd w:val="clear" w:color="auto" w:fill="auto"/>
        <w:bidi w:val="0"/>
        <w:spacing w:before="0" w:line="240" w:lineRule="auto"/>
        <w:ind w:left="0" w:right="0" w:firstLine="0"/>
        <w:jc w:val="both"/>
      </w:pPr>
      <w:r>
        <w:rPr>
          <w:rStyle w:val="CharStyle3"/>
        </w:rPr>
        <w:t>o dopuszczalnej masie całkowitej zespołu pojazdów równej lub wyższej niż 12 ton:</w:t>
      </w:r>
      <w:r>
        <w:br w:type="page"/>
      </w:r>
    </w:p>
    <w:tbl>
      <w:tblPr>
        <w:tblOverlap w:val="never"/>
        <w:jc w:val="left"/>
        <w:tblLayout w:type="fixed"/>
      </w:tblPr>
      <w:tblGrid>
        <w:gridCol w:w="1584"/>
        <w:gridCol w:w="2568"/>
        <w:gridCol w:w="1349"/>
        <w:gridCol w:w="1402"/>
      </w:tblGrid>
      <w:tr>
        <w:trPr>
          <w:trHeight w:val="710" w:hRule="exact"/>
        </w:trPr>
        <w:tc>
          <w:tcPr>
            <w:gridSpan w:val="2"/>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 xml:space="preserve">Liczba osi i </w:t>
            </w:r>
            <w:r>
              <w:rPr>
                <w:rStyle w:val="CharStyle8"/>
                <w:rFonts w:ascii="Arial" w:eastAsia="Arial" w:hAnsi="Arial" w:cs="Arial"/>
                <w:color w:val="090C21"/>
                <w:w w:val="80"/>
                <w:sz w:val="20"/>
                <w:szCs w:val="20"/>
              </w:rPr>
              <w:t xml:space="preserve">dopuszczalna </w:t>
            </w:r>
            <w:r>
              <w:rPr>
                <w:rStyle w:val="CharStyle8"/>
                <w:rFonts w:ascii="Arial" w:eastAsia="Arial" w:hAnsi="Arial" w:cs="Arial"/>
                <w:w w:val="80"/>
                <w:sz w:val="20"/>
                <w:szCs w:val="20"/>
              </w:rPr>
              <w:t xml:space="preserve">masa całkowita </w:t>
            </w:r>
            <w:r>
              <w:rPr>
                <w:rStyle w:val="CharStyle8"/>
                <w:rFonts w:ascii="Arial" w:eastAsia="Arial" w:hAnsi="Arial" w:cs="Arial"/>
                <w:color w:val="090C21"/>
                <w:w w:val="80"/>
                <w:sz w:val="20"/>
                <w:szCs w:val="20"/>
              </w:rPr>
              <w:t xml:space="preserve">zespołu pojazdów: ciągnik </w:t>
            </w:r>
            <w:r>
              <w:rPr>
                <w:rStyle w:val="CharStyle8"/>
                <w:rFonts w:ascii="Arial" w:eastAsia="Arial" w:hAnsi="Arial" w:cs="Arial"/>
                <w:w w:val="80"/>
                <w:sz w:val="20"/>
                <w:szCs w:val="20"/>
              </w:rPr>
              <w:t xml:space="preserve">siodłowy </w:t>
            </w:r>
            <w:r>
              <w:rPr>
                <w:rStyle w:val="CharStyle8"/>
                <w:rFonts w:ascii="Arial" w:eastAsia="Arial" w:hAnsi="Arial" w:cs="Arial"/>
                <w:color w:val="090C21"/>
                <w:w w:val="80"/>
                <w:sz w:val="20"/>
                <w:szCs w:val="20"/>
              </w:rPr>
              <w:t xml:space="preserve">+ </w:t>
            </w:r>
            <w:r>
              <w:rPr>
                <w:rStyle w:val="CharStyle8"/>
                <w:rFonts w:ascii="Arial" w:eastAsia="Arial" w:hAnsi="Arial" w:cs="Arial"/>
                <w:w w:val="80"/>
                <w:sz w:val="20"/>
                <w:szCs w:val="20"/>
              </w:rPr>
              <w:t xml:space="preserve">naczepa, </w:t>
            </w:r>
            <w:r>
              <w:rPr>
                <w:rStyle w:val="CharStyle8"/>
                <w:rFonts w:ascii="Arial" w:eastAsia="Arial" w:hAnsi="Arial" w:cs="Arial"/>
                <w:color w:val="090C21"/>
                <w:w w:val="80"/>
                <w:sz w:val="20"/>
                <w:szCs w:val="20"/>
              </w:rPr>
              <w:t xml:space="preserve">ciągnik balastowy </w:t>
            </w:r>
            <w:r>
              <w:rPr>
                <w:rStyle w:val="CharStyle8"/>
                <w:rFonts w:ascii="Arial" w:eastAsia="Arial" w:hAnsi="Arial" w:cs="Arial"/>
                <w:w w:val="80"/>
                <w:sz w:val="20"/>
                <w:szCs w:val="20"/>
              </w:rPr>
              <w:t xml:space="preserve">+ przyczepa </w:t>
            </w:r>
            <w:r>
              <w:rPr>
                <w:rStyle w:val="CharStyle8"/>
                <w:rFonts w:ascii="Arial" w:eastAsia="Arial" w:hAnsi="Arial" w:cs="Arial"/>
                <w:color w:val="090C21"/>
                <w:w w:val="80"/>
                <w:sz w:val="20"/>
                <w:szCs w:val="20"/>
              </w:rPr>
              <w:t xml:space="preserve">(w </w:t>
            </w:r>
            <w:r>
              <w:rPr>
                <w:rStyle w:val="CharStyle8"/>
                <w:rFonts w:ascii="Arial" w:eastAsia="Arial" w:hAnsi="Arial" w:cs="Arial"/>
                <w:w w:val="80"/>
                <w:sz w:val="20"/>
                <w:szCs w:val="20"/>
              </w:rPr>
              <w:t>tonach)</w:t>
            </w:r>
          </w:p>
        </w:tc>
        <w:tc>
          <w:tcPr>
            <w:gridSpan w:val="2"/>
            <w:tcBorders>
              <w:top w:val="single" w:sz="4"/>
              <w:left w:val="single" w:sz="4"/>
              <w:righ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Stawka podatku</w:t>
            </w:r>
          </w:p>
        </w:tc>
      </w:tr>
      <w:tr>
        <w:trPr>
          <w:trHeight w:val="1613" w:hRule="exact"/>
        </w:trPr>
        <w:tc>
          <w:tcPr>
            <w:tcBorders>
              <w:top w:val="single" w:sz="4"/>
              <w:lef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nie mniej niż</w:t>
            </w:r>
          </w:p>
        </w:tc>
        <w:tc>
          <w:tcPr>
            <w:tcBorders>
              <w:top w:val="single" w:sz="4"/>
              <w:lef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color w:val="090C21"/>
                <w:w w:val="80"/>
                <w:sz w:val="20"/>
                <w:szCs w:val="20"/>
              </w:rPr>
              <w:t xml:space="preserve">mniej </w:t>
            </w:r>
            <w:r>
              <w:rPr>
                <w:rStyle w:val="CharStyle8"/>
                <w:rFonts w:ascii="Arial" w:eastAsia="Arial" w:hAnsi="Arial" w:cs="Arial"/>
                <w:w w:val="80"/>
                <w:sz w:val="20"/>
                <w:szCs w:val="20"/>
              </w:rPr>
              <w:t>niż</w:t>
            </w:r>
          </w:p>
        </w:tc>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 xml:space="preserve">oś </w:t>
            </w:r>
            <w:r>
              <w:rPr>
                <w:rStyle w:val="CharStyle8"/>
                <w:rFonts w:ascii="Arial" w:eastAsia="Arial" w:hAnsi="Arial" w:cs="Arial"/>
                <w:color w:val="090C21"/>
                <w:w w:val="80"/>
                <w:sz w:val="20"/>
                <w:szCs w:val="20"/>
              </w:rPr>
              <w:t xml:space="preserve">jezdna (osie jezdne) </w:t>
            </w:r>
            <w:r>
              <w:rPr>
                <w:rStyle w:val="CharStyle8"/>
                <w:rFonts w:ascii="Arial" w:eastAsia="Arial" w:hAnsi="Arial" w:cs="Arial"/>
                <w:w w:val="80"/>
                <w:sz w:val="20"/>
                <w:szCs w:val="20"/>
              </w:rPr>
              <w:t xml:space="preserve">z zawieszeniem </w:t>
            </w:r>
            <w:r>
              <w:rPr>
                <w:rStyle w:val="CharStyle8"/>
                <w:rFonts w:ascii="Arial" w:eastAsia="Arial" w:hAnsi="Arial" w:cs="Arial"/>
                <w:color w:val="090C21"/>
                <w:w w:val="80"/>
                <w:sz w:val="20"/>
                <w:szCs w:val="20"/>
              </w:rPr>
              <w:t xml:space="preserve">pneumatycznym lub </w:t>
            </w:r>
            <w:r>
              <w:rPr>
                <w:rStyle w:val="CharStyle8"/>
                <w:rFonts w:ascii="Arial" w:eastAsia="Arial" w:hAnsi="Arial" w:cs="Arial"/>
                <w:w w:val="80"/>
                <w:sz w:val="20"/>
                <w:szCs w:val="20"/>
              </w:rPr>
              <w:t>zawieszeniem</w:t>
            </w:r>
          </w:p>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color w:val="090C21"/>
                <w:w w:val="80"/>
                <w:sz w:val="20"/>
                <w:szCs w:val="20"/>
              </w:rPr>
              <w:t xml:space="preserve">uznanym </w:t>
            </w:r>
            <w:r>
              <w:rPr>
                <w:rStyle w:val="CharStyle8"/>
                <w:rFonts w:ascii="Arial" w:eastAsia="Arial" w:hAnsi="Arial" w:cs="Arial"/>
                <w:w w:val="80"/>
                <w:sz w:val="20"/>
                <w:szCs w:val="20"/>
              </w:rPr>
              <w:t xml:space="preserve">za </w:t>
            </w:r>
            <w:r>
              <w:rPr>
                <w:rStyle w:val="CharStyle8"/>
                <w:rFonts w:ascii="Arial" w:eastAsia="Arial" w:hAnsi="Arial" w:cs="Arial"/>
                <w:color w:val="090C21"/>
                <w:w w:val="80"/>
                <w:sz w:val="20"/>
                <w:szCs w:val="20"/>
              </w:rPr>
              <w:t>równoważne</w:t>
            </w:r>
          </w:p>
        </w:tc>
        <w:tc>
          <w:tcPr>
            <w:tcBorders>
              <w:top w:val="single" w:sz="4"/>
              <w:left w:val="single" w:sz="4"/>
              <w:righ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color w:val="090C21"/>
                <w:w w:val="80"/>
                <w:sz w:val="20"/>
                <w:szCs w:val="20"/>
              </w:rPr>
              <w:t xml:space="preserve">Inne </w:t>
            </w:r>
            <w:r>
              <w:rPr>
                <w:rStyle w:val="CharStyle8"/>
                <w:rFonts w:ascii="Arial" w:eastAsia="Arial" w:hAnsi="Arial" w:cs="Arial"/>
                <w:w w:val="80"/>
                <w:sz w:val="20"/>
                <w:szCs w:val="20"/>
              </w:rPr>
              <w:t xml:space="preserve">systemy zawieszenia </w:t>
            </w:r>
            <w:r>
              <w:rPr>
                <w:rStyle w:val="CharStyle8"/>
                <w:rFonts w:ascii="Arial" w:eastAsia="Arial" w:hAnsi="Arial" w:cs="Arial"/>
                <w:color w:val="090C21"/>
                <w:w w:val="80"/>
                <w:sz w:val="20"/>
                <w:szCs w:val="20"/>
              </w:rPr>
              <w:t>osi jezdnych</w:t>
            </w:r>
          </w:p>
        </w:tc>
      </w:tr>
      <w:tr>
        <w:trPr>
          <w:trHeight w:val="269"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DWIE OSIE</w:t>
            </w:r>
          </w:p>
        </w:tc>
      </w:tr>
      <w:tr>
        <w:trPr>
          <w:trHeight w:val="264"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12</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18</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2.200,00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40"/>
              <w:jc w:val="left"/>
              <w:rPr>
                <w:sz w:val="20"/>
                <w:szCs w:val="20"/>
              </w:rPr>
            </w:pPr>
            <w:r>
              <w:rPr>
                <w:rStyle w:val="CharStyle8"/>
                <w:rFonts w:ascii="Arial" w:eastAsia="Arial" w:hAnsi="Arial" w:cs="Arial"/>
                <w:w w:val="80"/>
                <w:sz w:val="20"/>
                <w:szCs w:val="20"/>
              </w:rPr>
              <w:t>2.250,00</w:t>
            </w:r>
          </w:p>
        </w:tc>
      </w:tr>
      <w:tr>
        <w:trPr>
          <w:trHeight w:val="264"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18</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25</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2.250,00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40"/>
              <w:jc w:val="left"/>
              <w:rPr>
                <w:sz w:val="20"/>
                <w:szCs w:val="20"/>
              </w:rPr>
            </w:pPr>
            <w:r>
              <w:rPr>
                <w:rStyle w:val="CharStyle8"/>
                <w:rFonts w:ascii="Arial" w:eastAsia="Arial" w:hAnsi="Arial" w:cs="Arial"/>
                <w:w w:val="80"/>
                <w:sz w:val="20"/>
                <w:szCs w:val="20"/>
              </w:rPr>
              <w:t>2.350,00</w:t>
            </w:r>
          </w:p>
        </w:tc>
      </w:tr>
      <w:tr>
        <w:trPr>
          <w:trHeight w:val="259"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25</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1160" w:right="0" w:firstLine="0"/>
              <w:jc w:val="left"/>
              <w:rPr>
                <w:sz w:val="20"/>
                <w:szCs w:val="20"/>
              </w:rPr>
            </w:pPr>
            <w:r>
              <w:rPr>
                <w:rStyle w:val="CharStyle8"/>
                <w:rFonts w:ascii="Arial" w:eastAsia="Arial" w:hAnsi="Arial" w:cs="Arial"/>
                <w:color w:val="010037"/>
                <w:w w:val="80"/>
                <w:sz w:val="20"/>
                <w:szCs w:val="20"/>
              </w:rPr>
              <w:t>31</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2.350,00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40"/>
              <w:jc w:val="left"/>
              <w:rPr>
                <w:sz w:val="20"/>
                <w:szCs w:val="20"/>
              </w:rPr>
            </w:pPr>
            <w:r>
              <w:rPr>
                <w:rStyle w:val="CharStyle8"/>
                <w:rFonts w:ascii="Arial" w:eastAsia="Arial" w:hAnsi="Arial" w:cs="Arial"/>
                <w:w w:val="80"/>
                <w:sz w:val="20"/>
                <w:szCs w:val="20"/>
              </w:rPr>
              <w:t>2.400,00</w:t>
            </w:r>
          </w:p>
        </w:tc>
      </w:tr>
      <w:tr>
        <w:trPr>
          <w:trHeight w:val="269" w:hRule="exact"/>
        </w:trPr>
        <w:tc>
          <w:tcPr>
            <w:tcBorders>
              <w:top w:val="single" w:sz="4"/>
              <w:left w:val="single" w:sz="4"/>
            </w:tcBorders>
            <w:shd w:val="clear" w:color="auto" w:fill="auto"/>
            <w:vAlign w:val="top"/>
          </w:tcPr>
          <w:p>
            <w:pPr>
              <w:widowControl w:val="0"/>
              <w:rPr>
                <w:sz w:val="10"/>
                <w:szCs w:val="10"/>
              </w:rPr>
            </w:pP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left"/>
              <w:rPr>
                <w:sz w:val="20"/>
                <w:szCs w:val="20"/>
              </w:rPr>
            </w:pPr>
            <w:r>
              <w:rPr>
                <w:rStyle w:val="CharStyle8"/>
                <w:rFonts w:ascii="Arial" w:eastAsia="Arial" w:hAnsi="Arial" w:cs="Arial"/>
                <w:color w:val="090C21"/>
                <w:w w:val="80"/>
                <w:sz w:val="20"/>
                <w:szCs w:val="20"/>
              </w:rPr>
              <w:t xml:space="preserve">31 </w:t>
            </w:r>
            <w:r>
              <w:rPr>
                <w:rStyle w:val="CharStyle8"/>
                <w:rFonts w:ascii="Arial" w:eastAsia="Arial" w:hAnsi="Arial" w:cs="Arial"/>
                <w:w w:val="80"/>
                <w:sz w:val="20"/>
                <w:szCs w:val="20"/>
              </w:rPr>
              <w:t xml:space="preserve">ton </w:t>
            </w:r>
            <w:r>
              <w:rPr>
                <w:rStyle w:val="CharStyle8"/>
                <w:rFonts w:ascii="Arial" w:eastAsia="Arial" w:hAnsi="Arial" w:cs="Arial"/>
                <w:color w:val="090C21"/>
                <w:w w:val="80"/>
                <w:sz w:val="20"/>
                <w:szCs w:val="20"/>
              </w:rPr>
              <w:t>i więcej</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2.400,00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40"/>
              <w:jc w:val="left"/>
              <w:rPr>
                <w:sz w:val="20"/>
                <w:szCs w:val="20"/>
              </w:rPr>
            </w:pPr>
            <w:r>
              <w:rPr>
                <w:rStyle w:val="CharStyle8"/>
                <w:rFonts w:ascii="Arial" w:eastAsia="Arial" w:hAnsi="Arial" w:cs="Arial"/>
                <w:w w:val="80"/>
                <w:sz w:val="20"/>
                <w:szCs w:val="20"/>
              </w:rPr>
              <w:t>2.450,00</w:t>
            </w:r>
          </w:p>
        </w:tc>
      </w:tr>
      <w:tr>
        <w:trPr>
          <w:trHeight w:val="264"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TRZY OSIE</w:t>
            </w:r>
          </w:p>
        </w:tc>
      </w:tr>
      <w:tr>
        <w:trPr>
          <w:trHeight w:val="264"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12</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36</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2.450,00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40"/>
              <w:jc w:val="left"/>
              <w:rPr>
                <w:sz w:val="20"/>
                <w:szCs w:val="20"/>
              </w:rPr>
            </w:pPr>
            <w:r>
              <w:rPr>
                <w:rStyle w:val="CharStyle8"/>
                <w:rFonts w:ascii="Arial" w:eastAsia="Arial" w:hAnsi="Arial" w:cs="Arial"/>
                <w:w w:val="80"/>
                <w:sz w:val="20"/>
                <w:szCs w:val="20"/>
              </w:rPr>
              <w:t>2.500,00</w:t>
            </w:r>
          </w:p>
        </w:tc>
      </w:tr>
      <w:tr>
        <w:trPr>
          <w:trHeight w:val="274" w:hRule="exact"/>
        </w:trPr>
        <w:tc>
          <w:tcPr>
            <w:gridSpan w:val="2"/>
            <w:tcBorders>
              <w:top w:val="single" w:sz="4"/>
              <w:left w:val="single" w:sz="4"/>
              <w:bottom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powyżej 36 ton</w:t>
            </w:r>
          </w:p>
        </w:tc>
        <w:tc>
          <w:tcPr>
            <w:tcBorders>
              <w:top w:val="single" w:sz="4"/>
              <w:bottom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20"/>
                <w:szCs w:val="20"/>
              </w:rPr>
            </w:pPr>
            <w:r>
              <w:rPr>
                <w:rStyle w:val="CharStyle8"/>
                <w:rFonts w:ascii="Arial" w:eastAsia="Arial" w:hAnsi="Arial" w:cs="Arial"/>
                <w:w w:val="80"/>
                <w:sz w:val="20"/>
                <w:szCs w:val="20"/>
              </w:rPr>
              <w:t>3.200,00</w:t>
            </w:r>
          </w:p>
        </w:tc>
        <w:tc>
          <w:tcPr>
            <w:tcBorders>
              <w:top w:val="single" w:sz="4"/>
              <w:bottom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340"/>
              <w:jc w:val="left"/>
              <w:rPr>
                <w:sz w:val="20"/>
                <w:szCs w:val="20"/>
              </w:rPr>
            </w:pPr>
            <w:r>
              <w:rPr>
                <w:rStyle w:val="CharStyle8"/>
                <w:rFonts w:ascii="Arial" w:eastAsia="Arial" w:hAnsi="Arial" w:cs="Arial"/>
                <w:w w:val="80"/>
                <w:sz w:val="20"/>
                <w:szCs w:val="20"/>
              </w:rPr>
              <w:t>3.238,00</w:t>
            </w:r>
          </w:p>
        </w:tc>
      </w:tr>
    </w:tbl>
    <w:p>
      <w:pPr>
        <w:widowControl w:val="0"/>
        <w:spacing w:after="139" w:line="1" w:lineRule="exact"/>
      </w:pPr>
    </w:p>
    <w:p>
      <w:pPr>
        <w:pStyle w:val="Style2"/>
        <w:keepNext w:val="0"/>
        <w:keepLines w:val="0"/>
        <w:widowControl w:val="0"/>
        <w:numPr>
          <w:ilvl w:val="0"/>
          <w:numId w:val="3"/>
        </w:numPr>
        <w:shd w:val="clear" w:color="auto" w:fill="auto"/>
        <w:tabs>
          <w:tab w:pos="685" w:val="left"/>
        </w:tabs>
        <w:bidi w:val="0"/>
        <w:spacing w:before="0" w:line="240" w:lineRule="auto"/>
        <w:ind w:left="0" w:right="0" w:firstLine="380"/>
        <w:jc w:val="both"/>
      </w:pPr>
      <w:r>
        <w:rPr>
          <w:rStyle w:val="CharStyle3"/>
        </w:rPr>
        <w:t>Przyczepy i naczepy, które łącznie z pojazdem silnikowym posiadają dopuszczalną masę całkowitą od 7 ton i poniżej 12 ton, z wyjątkiem związanych wyłącznie z działalnością rolniczą prowadzoną przez podatnika podatku rolnego - 1.600,00 zł.</w:t>
      </w:r>
    </w:p>
    <w:p>
      <w:pPr>
        <w:pStyle w:val="Style2"/>
        <w:keepNext w:val="0"/>
        <w:keepLines w:val="0"/>
        <w:widowControl w:val="0"/>
        <w:numPr>
          <w:ilvl w:val="0"/>
          <w:numId w:val="3"/>
        </w:numPr>
        <w:shd w:val="clear" w:color="auto" w:fill="auto"/>
        <w:tabs>
          <w:tab w:pos="690" w:val="left"/>
        </w:tabs>
        <w:bidi w:val="0"/>
        <w:spacing w:before="0" w:after="540" w:line="240" w:lineRule="auto"/>
        <w:ind w:left="0" w:right="0" w:firstLine="380"/>
        <w:jc w:val="both"/>
      </w:pPr>
      <w:r>
        <w:rPr>
          <w:rStyle w:val="CharStyle3"/>
        </w:rPr>
        <w:t>Przyczepy i naczepy, które łącznie z pojazdem silnikowym posiadają dopuszczalną masę równą lub wyższą niż 12 ton, z wyjątkiem związanych wyłącznie z działalnością rolniczą prowadzoną przez podatnika podatku rolnego:</w:t>
      </w:r>
    </w:p>
    <w:tbl>
      <w:tblPr>
        <w:tblOverlap w:val="never"/>
        <w:jc w:val="left"/>
        <w:tblLayout w:type="fixed"/>
      </w:tblPr>
      <w:tblGrid>
        <w:gridCol w:w="2280"/>
        <w:gridCol w:w="1008"/>
        <w:gridCol w:w="1286"/>
        <w:gridCol w:w="2179"/>
      </w:tblGrid>
      <w:tr>
        <w:trPr>
          <w:trHeight w:val="888" w:hRule="exact"/>
        </w:trPr>
        <w:tc>
          <w:tcPr>
            <w:gridSpan w:val="2"/>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02" w:lineRule="auto"/>
              <w:ind w:left="0" w:right="0" w:firstLine="0"/>
              <w:jc w:val="center"/>
            </w:pPr>
            <w:r>
              <w:rPr>
                <w:rStyle w:val="CharStyle8"/>
                <w:b/>
                <w:bCs/>
                <w:color w:val="090C21"/>
              </w:rPr>
              <w:t xml:space="preserve">Liczba osi i dopuszczalna </w:t>
            </w:r>
            <w:r>
              <w:rPr>
                <w:rStyle w:val="CharStyle8"/>
                <w:b/>
                <w:bCs/>
              </w:rPr>
              <w:t xml:space="preserve">masa </w:t>
            </w:r>
            <w:r>
              <w:rPr>
                <w:rStyle w:val="CharStyle8"/>
                <w:b/>
                <w:bCs/>
                <w:color w:val="090C21"/>
              </w:rPr>
              <w:t xml:space="preserve">całkowita </w:t>
            </w:r>
            <w:r>
              <w:rPr>
                <w:rStyle w:val="CharStyle8"/>
                <w:b/>
                <w:bCs/>
              </w:rPr>
              <w:t xml:space="preserve">zespołu </w:t>
            </w:r>
            <w:r>
              <w:rPr>
                <w:rStyle w:val="CharStyle8"/>
                <w:b/>
                <w:bCs/>
                <w:color w:val="090C21"/>
              </w:rPr>
              <w:t>pojazdów: naczepa/przyczepa+ pojazd silnikowy (w tonach)</w:t>
            </w:r>
          </w:p>
        </w:tc>
        <w:tc>
          <w:tcPr>
            <w:gridSpan w:val="2"/>
            <w:tcBorders>
              <w:top w:val="single" w:sz="4"/>
              <w:left w:val="single" w:sz="4"/>
              <w:righ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pPr>
            <w:r>
              <w:rPr>
                <w:rStyle w:val="CharStyle8"/>
                <w:b/>
                <w:bCs/>
              </w:rPr>
              <w:t>Stawka podatku (w złotych)</w:t>
            </w:r>
          </w:p>
        </w:tc>
      </w:tr>
      <w:tr>
        <w:trPr>
          <w:trHeight w:val="1733" w:hRule="exact"/>
        </w:trPr>
        <w:tc>
          <w:tcPr>
            <w:tcBorders>
              <w:top w:val="single" w:sz="4"/>
              <w:lef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 xml:space="preserve">nie </w:t>
            </w:r>
            <w:r>
              <w:rPr>
                <w:rStyle w:val="CharStyle8"/>
                <w:rFonts w:ascii="Arial" w:eastAsia="Arial" w:hAnsi="Arial" w:cs="Arial"/>
                <w:color w:val="201826"/>
                <w:sz w:val="17"/>
                <w:szCs w:val="17"/>
              </w:rPr>
              <w:t xml:space="preserve">mniej </w:t>
            </w:r>
            <w:r>
              <w:rPr>
                <w:rStyle w:val="CharStyle8"/>
                <w:rFonts w:ascii="Arial" w:eastAsia="Arial" w:hAnsi="Arial" w:cs="Arial"/>
                <w:sz w:val="17"/>
                <w:szCs w:val="17"/>
              </w:rPr>
              <w:t>niż</w:t>
            </w:r>
          </w:p>
        </w:tc>
        <w:tc>
          <w:tcPr>
            <w:tcBorders>
              <w:top w:val="single" w:sz="4"/>
              <w:left w:val="single" w:sz="4"/>
            </w:tcBorders>
            <w:shd w:val="clear" w:color="auto" w:fill="auto"/>
            <w:vAlign w:val="center"/>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color w:val="201826"/>
                <w:sz w:val="17"/>
                <w:szCs w:val="17"/>
              </w:rPr>
              <w:t xml:space="preserve">mniej </w:t>
            </w:r>
            <w:r>
              <w:rPr>
                <w:rStyle w:val="CharStyle8"/>
                <w:rFonts w:ascii="Arial" w:eastAsia="Arial" w:hAnsi="Arial" w:cs="Arial"/>
                <w:sz w:val="17"/>
                <w:szCs w:val="17"/>
              </w:rPr>
              <w:t>niż</w:t>
            </w:r>
          </w:p>
        </w:tc>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62" w:lineRule="auto"/>
              <w:ind w:left="0" w:right="0" w:firstLine="0"/>
              <w:jc w:val="center"/>
              <w:rPr>
                <w:sz w:val="17"/>
                <w:szCs w:val="17"/>
              </w:rPr>
            </w:pPr>
            <w:r>
              <w:rPr>
                <w:rStyle w:val="CharStyle8"/>
                <w:rFonts w:ascii="Arial" w:eastAsia="Arial" w:hAnsi="Arial" w:cs="Arial"/>
                <w:sz w:val="17"/>
                <w:szCs w:val="17"/>
              </w:rPr>
              <w:t xml:space="preserve">oś jezdna (osie jezdne) z zawieszeniem </w:t>
            </w:r>
            <w:r>
              <w:rPr>
                <w:rStyle w:val="CharStyle8"/>
                <w:rFonts w:ascii="Arial" w:eastAsia="Arial" w:hAnsi="Arial" w:cs="Arial"/>
                <w:color w:val="201826"/>
                <w:sz w:val="17"/>
                <w:szCs w:val="17"/>
              </w:rPr>
              <w:t xml:space="preserve">pneumatycznym lub </w:t>
            </w:r>
            <w:r>
              <w:rPr>
                <w:rStyle w:val="CharStyle8"/>
                <w:rFonts w:ascii="Arial" w:eastAsia="Arial" w:hAnsi="Arial" w:cs="Arial"/>
                <w:sz w:val="17"/>
                <w:szCs w:val="17"/>
              </w:rPr>
              <w:t xml:space="preserve">zawieszeniem </w:t>
            </w:r>
            <w:r>
              <w:rPr>
                <w:rStyle w:val="CharStyle8"/>
                <w:rFonts w:ascii="Arial" w:eastAsia="Arial" w:hAnsi="Arial" w:cs="Arial"/>
                <w:color w:val="201826"/>
                <w:sz w:val="17"/>
                <w:szCs w:val="17"/>
              </w:rPr>
              <w:t xml:space="preserve">uznanym </w:t>
            </w:r>
            <w:r>
              <w:rPr>
                <w:rStyle w:val="CharStyle8"/>
                <w:rFonts w:ascii="Arial" w:eastAsia="Arial" w:hAnsi="Arial" w:cs="Arial"/>
                <w:sz w:val="17"/>
                <w:szCs w:val="17"/>
              </w:rPr>
              <w:t xml:space="preserve">za </w:t>
            </w:r>
            <w:r>
              <w:rPr>
                <w:rStyle w:val="CharStyle8"/>
                <w:rFonts w:ascii="Arial" w:eastAsia="Arial" w:hAnsi="Arial" w:cs="Arial"/>
                <w:color w:val="201826"/>
                <w:sz w:val="17"/>
                <w:szCs w:val="17"/>
              </w:rPr>
              <w:t>równoważne</w:t>
            </w:r>
          </w:p>
        </w:tc>
        <w:tc>
          <w:tcPr>
            <w:tcBorders>
              <w:top w:val="single" w:sz="4"/>
              <w:left w:val="single" w:sz="4"/>
              <w:right w:val="single" w:sz="4"/>
            </w:tcBorders>
            <w:shd w:val="clear" w:color="auto" w:fill="auto"/>
            <w:vAlign w:val="center"/>
          </w:tcPr>
          <w:p>
            <w:pPr>
              <w:pStyle w:val="Style7"/>
              <w:keepNext w:val="0"/>
              <w:keepLines w:val="0"/>
              <w:widowControl w:val="0"/>
              <w:shd w:val="clear" w:color="auto" w:fill="auto"/>
              <w:bidi w:val="0"/>
              <w:spacing w:before="0" w:after="0" w:line="259" w:lineRule="auto"/>
              <w:ind w:left="0" w:right="0" w:firstLine="0"/>
              <w:jc w:val="center"/>
              <w:rPr>
                <w:sz w:val="17"/>
                <w:szCs w:val="17"/>
              </w:rPr>
            </w:pPr>
            <w:r>
              <w:rPr>
                <w:rStyle w:val="CharStyle8"/>
                <w:rFonts w:ascii="Arial" w:eastAsia="Arial" w:hAnsi="Arial" w:cs="Arial"/>
                <w:sz w:val="17"/>
                <w:szCs w:val="17"/>
              </w:rPr>
              <w:t>inne systemy zawieszenia osi jezdnych</w:t>
            </w:r>
          </w:p>
        </w:tc>
      </w:tr>
      <w:tr>
        <w:trPr>
          <w:trHeight w:val="245"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JEDNA OŚ</w:t>
            </w:r>
          </w:p>
        </w:tc>
      </w:tr>
      <w:tr>
        <w:trPr>
          <w:trHeight w:val="25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12</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18</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1.500,00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1.550,00</w:t>
            </w:r>
          </w:p>
        </w:tc>
      </w:tr>
      <w:tr>
        <w:trPr>
          <w:trHeight w:val="24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18</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25</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1.550,00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1.600,00</w:t>
            </w:r>
          </w:p>
        </w:tc>
      </w:tr>
      <w:tr>
        <w:trPr>
          <w:trHeight w:val="250" w:hRule="exact"/>
        </w:trPr>
        <w:tc>
          <w:tcPr>
            <w:gridSpan w:val="2"/>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25 ton i więcej</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1.600,00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1.650,00</w:t>
            </w:r>
          </w:p>
        </w:tc>
      </w:tr>
      <w:tr>
        <w:trPr>
          <w:trHeight w:val="250"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DWIE OSIE</w:t>
            </w:r>
          </w:p>
        </w:tc>
      </w:tr>
      <w:tr>
        <w:trPr>
          <w:trHeight w:val="24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12</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28</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1.650,00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1.750,00</w:t>
            </w:r>
          </w:p>
        </w:tc>
      </w:tr>
      <w:tr>
        <w:trPr>
          <w:trHeight w:val="25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28</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33</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1.750,00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1.800,00</w:t>
            </w:r>
          </w:p>
        </w:tc>
      </w:tr>
      <w:tr>
        <w:trPr>
          <w:trHeight w:val="240" w:hRule="exact"/>
        </w:trPr>
        <w:tc>
          <w:tcPr>
            <w:tcBorders>
              <w:top w:val="single" w:sz="4"/>
              <w:lef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33</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36</w:t>
            </w:r>
          </w:p>
        </w:tc>
        <w:tc>
          <w:tcPr>
            <w:tcBorders>
              <w:top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1.800,00</w:t>
            </w:r>
          </w:p>
        </w:tc>
        <w:tc>
          <w:tcPr>
            <w:tcBorders>
              <w:top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1.850,00</w:t>
            </w:r>
          </w:p>
        </w:tc>
      </w:tr>
      <w:tr>
        <w:trPr>
          <w:trHeight w:val="254" w:hRule="exact"/>
        </w:trPr>
        <w:tc>
          <w:tcPr>
            <w:gridSpan w:val="2"/>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powyżej 36 ton</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1.850,00</w:t>
            </w:r>
          </w:p>
        </w:tc>
        <w:tc>
          <w:tcPr>
            <w:tcBorders>
              <w:top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1.900,00</w:t>
            </w:r>
          </w:p>
        </w:tc>
      </w:tr>
      <w:tr>
        <w:trPr>
          <w:trHeight w:val="240" w:hRule="exact"/>
        </w:trPr>
        <w:tc>
          <w:tcPr>
            <w:gridSpan w:val="4"/>
            <w:tcBorders>
              <w:top w:val="single" w:sz="4"/>
              <w:left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TRZY OSIE</w:t>
            </w:r>
          </w:p>
        </w:tc>
      </w:tr>
      <w:tr>
        <w:trPr>
          <w:trHeight w:val="250" w:hRule="exact"/>
        </w:trPr>
        <w:tc>
          <w:tcPr>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12</w:t>
            </w:r>
          </w:p>
        </w:tc>
        <w:tc>
          <w:tcPr>
            <w:tcBorders>
              <w:top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36</w:t>
            </w:r>
          </w:p>
        </w:tc>
        <w:tc>
          <w:tcPr>
            <w:tcBorders>
              <w:top w:val="single" w:sz="4"/>
              <w:lef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1.750,00</w:t>
            </w:r>
          </w:p>
        </w:tc>
        <w:tc>
          <w:tcPr>
            <w:tcBorders>
              <w:top w:val="single" w:sz="4"/>
              <w:left w:val="single" w:sz="4"/>
              <w:right w:val="single" w:sz="4"/>
            </w:tcBorders>
            <w:shd w:val="clear" w:color="auto" w:fill="auto"/>
            <w:vAlign w:val="bottom"/>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1.979,00</w:t>
            </w:r>
          </w:p>
        </w:tc>
      </w:tr>
      <w:tr>
        <w:trPr>
          <w:trHeight w:val="254" w:hRule="exact"/>
        </w:trPr>
        <w:tc>
          <w:tcPr>
            <w:gridSpan w:val="2"/>
            <w:tcBorders>
              <w:top w:val="single" w:sz="4"/>
              <w:left w:val="single" w:sz="4"/>
              <w:bottom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powyżej 36 ton</w:t>
            </w:r>
          </w:p>
        </w:tc>
        <w:tc>
          <w:tcPr>
            <w:tcBorders>
              <w:top w:val="single" w:sz="4"/>
              <w:left w:val="single" w:sz="4"/>
              <w:bottom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jc w:val="left"/>
              <w:rPr>
                <w:sz w:val="17"/>
                <w:szCs w:val="17"/>
              </w:rPr>
            </w:pPr>
            <w:r>
              <w:rPr>
                <w:rStyle w:val="CharStyle8"/>
                <w:rFonts w:ascii="Arial" w:eastAsia="Arial" w:hAnsi="Arial" w:cs="Arial"/>
                <w:sz w:val="17"/>
                <w:szCs w:val="17"/>
              </w:rPr>
              <w:t>2.100,00</w:t>
            </w:r>
          </w:p>
        </w:tc>
        <w:tc>
          <w:tcPr>
            <w:tcBorders>
              <w:top w:val="single" w:sz="4"/>
              <w:left w:val="single" w:sz="4"/>
              <w:bottom w:val="single" w:sz="4"/>
              <w:right w:val="single" w:sz="4"/>
            </w:tcBorders>
            <w:shd w:val="clear" w:color="auto" w:fill="auto"/>
            <w:vAlign w:val="top"/>
          </w:tcPr>
          <w:p>
            <w:pPr>
              <w:pStyle w:val="Style7"/>
              <w:keepNext w:val="0"/>
              <w:keepLines w:val="0"/>
              <w:widowControl w:val="0"/>
              <w:shd w:val="clear" w:color="auto" w:fill="auto"/>
              <w:bidi w:val="0"/>
              <w:spacing w:before="0" w:after="0" w:line="240" w:lineRule="auto"/>
              <w:ind w:left="0" w:right="0" w:firstLine="0"/>
              <w:jc w:val="center"/>
              <w:rPr>
                <w:sz w:val="17"/>
                <w:szCs w:val="17"/>
              </w:rPr>
            </w:pPr>
            <w:r>
              <w:rPr>
                <w:rStyle w:val="CharStyle8"/>
                <w:rFonts w:ascii="Arial" w:eastAsia="Arial" w:hAnsi="Arial" w:cs="Arial"/>
                <w:sz w:val="17"/>
                <w:szCs w:val="17"/>
              </w:rPr>
              <w:t>2.500,00</w:t>
            </w:r>
          </w:p>
        </w:tc>
      </w:tr>
    </w:tbl>
    <w:p>
      <w:pPr>
        <w:widowControl w:val="0"/>
        <w:spacing w:after="139" w:line="1" w:lineRule="exact"/>
      </w:pPr>
    </w:p>
    <w:p>
      <w:pPr>
        <w:pStyle w:val="Style2"/>
        <w:keepNext w:val="0"/>
        <w:keepLines w:val="0"/>
        <w:widowControl w:val="0"/>
        <w:numPr>
          <w:ilvl w:val="0"/>
          <w:numId w:val="3"/>
        </w:numPr>
        <w:shd w:val="clear" w:color="auto" w:fill="auto"/>
        <w:tabs>
          <w:tab w:pos="719" w:val="left"/>
        </w:tabs>
        <w:bidi w:val="0"/>
        <w:spacing w:before="0" w:line="240" w:lineRule="auto"/>
        <w:ind w:left="0" w:right="0" w:firstLine="380"/>
        <w:jc w:val="both"/>
      </w:pPr>
      <w:r>
        <w:rPr>
          <w:rStyle w:val="CharStyle3"/>
        </w:rPr>
        <w:t>Autobusy w zależności od liczby miejsc:</w:t>
      </w:r>
    </w:p>
    <w:p>
      <w:pPr>
        <w:pStyle w:val="Style2"/>
        <w:keepNext w:val="0"/>
        <w:keepLines w:val="0"/>
        <w:widowControl w:val="0"/>
        <w:numPr>
          <w:ilvl w:val="0"/>
          <w:numId w:val="7"/>
        </w:numPr>
        <w:shd w:val="clear" w:color="auto" w:fill="auto"/>
        <w:tabs>
          <w:tab w:pos="354" w:val="left"/>
        </w:tabs>
        <w:bidi w:val="0"/>
        <w:spacing w:before="0" w:line="240" w:lineRule="auto"/>
        <w:ind w:left="0" w:right="0" w:firstLine="0"/>
        <w:jc w:val="left"/>
      </w:pPr>
      <w:r>
        <w:rPr>
          <w:rStyle w:val="CharStyle3"/>
        </w:rPr>
        <w:t>do 22 miejsc - 1.500,00 zł;</w:t>
      </w:r>
    </w:p>
    <w:p>
      <w:pPr>
        <w:pStyle w:val="Style2"/>
        <w:keepNext w:val="0"/>
        <w:keepLines w:val="0"/>
        <w:widowControl w:val="0"/>
        <w:numPr>
          <w:ilvl w:val="0"/>
          <w:numId w:val="7"/>
        </w:numPr>
        <w:shd w:val="clear" w:color="auto" w:fill="auto"/>
        <w:tabs>
          <w:tab w:pos="373" w:val="left"/>
        </w:tabs>
        <w:bidi w:val="0"/>
        <w:spacing w:before="0" w:line="240" w:lineRule="auto"/>
        <w:ind w:left="0" w:right="0" w:firstLine="0"/>
        <w:jc w:val="left"/>
      </w:pPr>
      <w:r>
        <w:rPr>
          <w:rStyle w:val="CharStyle3"/>
        </w:rPr>
        <w:t>równej lub wyższej niż 22 miejsca - 2.100,00 zł.</w:t>
      </w:r>
    </w:p>
    <w:p>
      <w:pPr>
        <w:pStyle w:val="Style2"/>
        <w:keepNext w:val="0"/>
        <w:keepLines w:val="0"/>
        <w:widowControl w:val="0"/>
        <w:shd w:val="clear" w:color="auto" w:fill="auto"/>
        <w:bidi w:val="0"/>
        <w:spacing w:before="0" w:after="120" w:line="240" w:lineRule="auto"/>
        <w:ind w:left="0" w:right="0" w:firstLine="360"/>
        <w:jc w:val="both"/>
      </w:pPr>
      <w:r>
        <w:rPr>
          <w:rStyle w:val="CharStyle3"/>
          <w:b/>
          <w:bCs/>
        </w:rPr>
        <w:t xml:space="preserve">§ 2. </w:t>
      </w:r>
      <w:r>
        <w:rPr>
          <w:rStyle w:val="CharStyle3"/>
        </w:rPr>
        <w:t>Wykonanie uchwały powierza się Wójtowi Gminy Skąpe.</w:t>
      </w:r>
    </w:p>
    <w:p>
      <w:pPr>
        <w:pStyle w:val="Style2"/>
        <w:keepNext w:val="0"/>
        <w:keepLines w:val="0"/>
        <w:widowControl w:val="0"/>
        <w:numPr>
          <w:ilvl w:val="0"/>
          <w:numId w:val="9"/>
        </w:numPr>
        <w:shd w:val="clear" w:color="auto" w:fill="auto"/>
        <w:tabs>
          <w:tab w:pos="862" w:val="left"/>
        </w:tabs>
        <w:bidi w:val="0"/>
        <w:spacing w:before="0" w:line="240" w:lineRule="auto"/>
        <w:ind w:left="0" w:right="0" w:firstLine="360"/>
        <w:jc w:val="both"/>
      </w:pPr>
      <w:r>
        <w:rPr>
          <w:rStyle w:val="CharStyle3"/>
        </w:rPr>
        <w:t>Traci moc uchwała Nr XXI/203/2016 Rady Gminy Skąpe z dnia 28 października 2016 r. w sprawie określenia wysokości stawek podatku od środków transportowych na terenie Gminy Skąpe zmienionej uchwałą Nr XXIII/225/2016 Rady Gminy Skąpe z dnia 16 grudnia 2016r. (Dz. Urz. Woj. Lubuskiego z 2016 r. poz. 2443, zm. Dz. Urz. Woj. Lubuskiego z 2016 r. poz. 2663).</w:t>
      </w:r>
    </w:p>
    <w:p>
      <w:pPr>
        <w:pStyle w:val="Style2"/>
        <w:keepNext w:val="0"/>
        <w:keepLines w:val="0"/>
        <w:widowControl w:val="0"/>
        <w:numPr>
          <w:ilvl w:val="0"/>
          <w:numId w:val="9"/>
        </w:numPr>
        <w:shd w:val="clear" w:color="auto" w:fill="auto"/>
        <w:tabs>
          <w:tab w:pos="858" w:val="left"/>
        </w:tabs>
        <w:bidi w:val="0"/>
        <w:spacing w:before="0" w:after="900" w:line="240" w:lineRule="auto"/>
        <w:ind w:left="0" w:right="0" w:firstLine="360"/>
        <w:jc w:val="both"/>
      </w:pPr>
      <w:r>
        <w:rPr>
          <w:rStyle w:val="CharStyle3"/>
        </w:rPr>
        <w:t>Uchwała wchodzi w życie z dniem 1 stycznia 2020 r. i podlega ogłoszeniu w Dzienniku Urzędowym Województwa Lubuskiego.</w:t>
      </w:r>
    </w:p>
    <w:p>
      <w:pPr>
        <w:pStyle w:val="Style2"/>
        <w:keepNext w:val="0"/>
        <w:keepLines w:val="0"/>
        <w:widowControl w:val="0"/>
        <w:shd w:val="clear" w:color="auto" w:fill="auto"/>
        <w:bidi w:val="0"/>
        <w:spacing w:before="0" w:after="480" w:line="240" w:lineRule="auto"/>
        <w:ind w:left="6360" w:right="0" w:firstLine="0"/>
        <w:jc w:val="left"/>
      </w:pPr>
      <w:r>
        <w:rPr>
          <w:rStyle w:val="CharStyle3"/>
        </w:rPr>
        <w:t>Przewodniczący Rady Gminy</w:t>
      </w:r>
    </w:p>
    <w:p>
      <w:pPr>
        <w:pStyle w:val="Style2"/>
        <w:keepNext w:val="0"/>
        <w:keepLines w:val="0"/>
        <w:widowControl w:val="0"/>
        <w:shd w:val="clear" w:color="auto" w:fill="auto"/>
        <w:bidi w:val="0"/>
        <w:spacing w:before="0" w:after="480" w:line="240" w:lineRule="auto"/>
        <w:ind w:left="0" w:right="1740" w:firstLine="0"/>
        <w:jc w:val="right"/>
        <w:sectPr>
          <w:footnotePr>
            <w:pos w:val="pageBottom"/>
            <w:numFmt w:val="decimal"/>
            <w:numRestart w:val="continuous"/>
          </w:footnotePr>
          <w:pgSz w:w="11900" w:h="16840"/>
          <w:pgMar w:top="844" w:right="812" w:bottom="1790" w:left="816" w:header="0" w:footer="3" w:gutter="0"/>
          <w:cols w:space="720"/>
          <w:noEndnote/>
          <w:rtlGutter w:val="0"/>
          <w:docGrid w:linePitch="360"/>
        </w:sectPr>
      </w:pPr>
      <w:r>
        <w:rPr>
          <w:rStyle w:val="CharStyle3"/>
          <w:b/>
          <w:bCs/>
        </w:rPr>
        <w:t>Mariusz Kuźmicz</w:t>
      </w:r>
    </w:p>
    <w:p>
      <w:pPr>
        <w:pStyle w:val="Style2"/>
        <w:keepNext w:val="0"/>
        <w:keepLines w:val="0"/>
        <w:widowControl w:val="0"/>
        <w:shd w:val="clear" w:color="auto" w:fill="auto"/>
        <w:bidi w:val="0"/>
        <w:spacing w:before="0" w:after="0" w:line="240" w:lineRule="auto"/>
        <w:ind w:left="0" w:right="0" w:firstLine="0"/>
        <w:jc w:val="center"/>
      </w:pPr>
      <w:r>
        <w:rPr>
          <w:rStyle w:val="CharStyle3"/>
          <w:b/>
          <w:bCs/>
        </w:rPr>
        <w:t>Uzasadnienie</w:t>
      </w:r>
    </w:p>
    <w:p>
      <w:pPr>
        <w:pStyle w:val="Style2"/>
        <w:keepNext w:val="0"/>
        <w:keepLines w:val="0"/>
        <w:widowControl w:val="0"/>
        <w:shd w:val="clear" w:color="auto" w:fill="auto"/>
        <w:bidi w:val="0"/>
        <w:spacing w:before="0" w:after="0" w:line="240" w:lineRule="auto"/>
        <w:ind w:left="0" w:right="0" w:firstLine="0"/>
        <w:jc w:val="both"/>
      </w:pPr>
      <w:r>
        <w:rPr>
          <w:rStyle w:val="CharStyle3"/>
        </w:rPr>
        <w:t>Przedłożony projekt uchwały zawiera wysokości stawek podatku od środków transportowych, które ostatnio były aktualizowane na rok 2017. Nastąpiła wtedy znaczna obniżka stawek w związku z zamiarem pozyskania przez Gminę nowych podmiotów, dla których niskie stawki miały być zachętą do utworzenia siedzib firm transportowych na terenie Gminy Skąpe. Miało to spowodować, że dochody Gminy nie zostaną uszczuplone w związku ze wzrostem liczby pojazdów. Nie odnotowano wzrostu dochodów Gminy w związku z niskimi stawkami, a wobec wzrostu potrzeb, m.in. konieczności modernizacji dróg, podjęcie powyższej uchwały, powodujące zwiększenie stawek od środków transportowych od roku 2020, jest zasadne.</w:t>
      </w:r>
    </w:p>
    <w:sectPr>
      <w:footnotePr>
        <w:pos w:val="pageBottom"/>
        <w:numFmt w:val="decimal"/>
        <w:numRestart w:val="continuous"/>
      </w:footnotePr>
      <w:pgSz w:w="11900" w:h="16840"/>
      <w:pgMar w:top="831" w:right="813" w:bottom="831" w:left="819"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 %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pl-PL" w:eastAsia="pl-PL" w:bidi="pl-PL"/>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4">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abstractNum>
  <w:abstractNum w:abstractNumId="8">
    <w:multiLevelType w:val="multilevel"/>
    <w:lvl w:ilvl="0">
      <w:start w:val="3"/>
      <w:numFmt w:val="decimal"/>
      <w:lvlText w:val="§ %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lang w:val="pl-PL" w:eastAsia="pl-PL" w:bidi="pl-PL"/>
    </w:rPr>
  </w:style>
  <w:style w:type="character" w:customStyle="1" w:styleId="CharStyle3">
    <w:name w:val="Tekst treści_"/>
    <w:basedOn w:val="DefaultParagraphFont"/>
    <w:link w:val="Style2"/>
    <w:rPr>
      <w:rFonts w:ascii="Times New Roman" w:eastAsia="Times New Roman" w:hAnsi="Times New Roman" w:cs="Times New Roman"/>
      <w:b w:val="0"/>
      <w:bCs w:val="0"/>
      <w:i w:val="0"/>
      <w:iCs w:val="0"/>
      <w:smallCaps w:val="0"/>
      <w:strike w:val="0"/>
      <w:sz w:val="22"/>
      <w:szCs w:val="22"/>
      <w:u w:val="none"/>
    </w:rPr>
  </w:style>
  <w:style w:type="character" w:customStyle="1" w:styleId="CharStyle8">
    <w:name w:val="Inne_"/>
    <w:basedOn w:val="DefaultParagraphFont"/>
    <w:link w:val="Style7"/>
    <w:rPr>
      <w:rFonts w:ascii="Times New Roman" w:eastAsia="Times New Roman" w:hAnsi="Times New Roman" w:cs="Times New Roman"/>
      <w:b w:val="0"/>
      <w:bCs w:val="0"/>
      <w:i w:val="0"/>
      <w:iCs w:val="0"/>
      <w:smallCaps w:val="0"/>
      <w:strike w:val="0"/>
      <w:sz w:val="22"/>
      <w:szCs w:val="22"/>
      <w:u w:val="none"/>
    </w:rPr>
  </w:style>
  <w:style w:type="paragraph" w:customStyle="1" w:styleId="Style2">
    <w:name w:val="Tekst treści"/>
    <w:basedOn w:val="Normal"/>
    <w:link w:val="CharStyle3"/>
    <w:pPr>
      <w:widowControl w:val="0"/>
      <w:shd w:val="clear" w:color="auto" w:fill="auto"/>
      <w:spacing w:after="100"/>
      <w:ind w:firstLine="240"/>
    </w:pPr>
    <w:rPr>
      <w:rFonts w:ascii="Times New Roman" w:eastAsia="Times New Roman" w:hAnsi="Times New Roman" w:cs="Times New Roman"/>
      <w:b w:val="0"/>
      <w:bCs w:val="0"/>
      <w:i w:val="0"/>
      <w:iCs w:val="0"/>
      <w:smallCaps w:val="0"/>
      <w:strike w:val="0"/>
      <w:sz w:val="22"/>
      <w:szCs w:val="22"/>
      <w:u w:val="none"/>
    </w:rPr>
  </w:style>
  <w:style w:type="paragraph" w:customStyle="1" w:styleId="Style7">
    <w:name w:val="Inne"/>
    <w:basedOn w:val="Normal"/>
    <w:link w:val="CharStyle8"/>
    <w:pPr>
      <w:widowControl w:val="0"/>
      <w:shd w:val="clear" w:color="auto" w:fill="auto"/>
      <w:spacing w:after="100"/>
      <w:ind w:firstLine="240"/>
    </w:pPr>
    <w:rPr>
      <w:rFonts w:ascii="Times New Roman" w:eastAsia="Times New Roman" w:hAnsi="Times New Roman" w:cs="Times New Roman"/>
      <w:b w:val="0"/>
      <w:bCs w:val="0"/>
      <w:i w:val="0"/>
      <w:iCs w:val="0"/>
      <w:smallCaps w:val="0"/>
      <w:strike w:val="0"/>
      <w:sz w:val="22"/>
      <w:szCs w:val="2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

<file path=docProps/core.xml><?xml version="1.0" encoding="utf-8"?>
<cp:coreProperties xmlns:cp="http://schemas.openxmlformats.org/package/2006/metadata/core-properties" xmlns:dc="http://purl.org/dc/elements/1.1/">
  <dc:title>Uchwala Nr XIV/115/2019 z dnia 20 listopada 2019 r.</dc:title>
  <dc:subject>w sprawie wysokosci stawek podatku od srodkow transportowych na terenie Gminy Skape</dc:subject>
  <dc:creator>Rada Gminy Skape</dc:creator>
  <cp:keywords/>
</cp:coreProperties>
</file>