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65795C" w14:textId="73DBC3B1" w:rsidR="00E022D6" w:rsidRDefault="00412C4D">
      <w:pPr>
        <w:pStyle w:val="Jednostka"/>
        <w:jc w:val="right"/>
      </w:pPr>
      <w:bookmarkStart w:id="0" w:name="_GoBack"/>
      <w:bookmarkEnd w:id="0"/>
      <w:r>
        <w:rPr>
          <w:noProof/>
        </w:rPr>
        <w:drawing>
          <wp:anchor distT="0" distB="0" distL="114300" distR="114300" simplePos="0" relativeHeight="3" behindDoc="0" locked="0" layoutInCell="0" allowOverlap="0" wp14:anchorId="765A3B8A" wp14:editId="7EAB1A69">
            <wp:simplePos x="0" y="0"/>
            <wp:positionH relativeFrom="margin">
              <wp:align>right</wp:align>
            </wp:positionH>
            <wp:positionV relativeFrom="paragraph">
              <wp:posOffset>-251460</wp:posOffset>
            </wp:positionV>
            <wp:extent cx="737235" cy="5359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dpi="0">
                    <a:blip r:embed="rId7"/>
                    <a:srcRect/>
                    <a:stretch>
                      <a:fillRect/>
                    </a:stretch>
                  </pic:blipFill>
                  <pic:spPr>
                    <a:xfrm>
                      <a:off x="0" y="0"/>
                      <a:ext cx="737235" cy="535940"/>
                    </a:xfrm>
                    <a:prstGeom prst="rect">
                      <a:avLst/>
                    </a:prstGeom>
                  </pic:spPr>
                </pic:pic>
              </a:graphicData>
            </a:graphic>
          </wp:anchor>
        </w:drawing>
      </w:r>
      <w:r>
        <w:rPr>
          <w:noProof/>
        </w:rPr>
        <w:drawing>
          <wp:anchor distT="0" distB="0" distL="114300" distR="114300" simplePos="0" relativeHeight="2" behindDoc="0" locked="0" layoutInCell="0" allowOverlap="0" wp14:anchorId="052122F6" wp14:editId="6346F1BC">
            <wp:simplePos x="0" y="0"/>
            <wp:positionH relativeFrom="column">
              <wp:posOffset>-701675</wp:posOffset>
            </wp:positionH>
            <wp:positionV relativeFrom="margin">
              <wp:align>top</wp:align>
            </wp:positionV>
            <wp:extent cx="1297940" cy="2921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dpi="0">
                    <a:blip r:embed="rId8"/>
                    <a:srcRect/>
                    <a:stretch>
                      <a:fillRect/>
                    </a:stretch>
                  </pic:blipFill>
                  <pic:spPr>
                    <a:xfrm>
                      <a:off x="0" y="0"/>
                      <a:ext cx="1297940" cy="292100"/>
                    </a:xfrm>
                    <a:prstGeom prst="rect">
                      <a:avLst/>
                    </a:prstGeom>
                  </pic:spPr>
                </pic:pic>
              </a:graphicData>
            </a:graphic>
          </wp:anchor>
        </w:drawing>
      </w:r>
    </w:p>
    <w:p w14:paraId="51EDB1BC" w14:textId="77777777" w:rsidR="00E022D6" w:rsidRDefault="00E022D6">
      <w:pPr>
        <w:pStyle w:val="Jednostka"/>
        <w:jc w:val="right"/>
        <w:rPr>
          <w:color w:val="000000"/>
        </w:rPr>
      </w:pPr>
    </w:p>
    <w:p w14:paraId="26C8680B" w14:textId="77777777" w:rsidR="00E022D6" w:rsidRDefault="00412C4D">
      <w:pPr>
        <w:pStyle w:val="Jednostka"/>
        <w:rPr>
          <w:b/>
          <w:sz w:val="24"/>
        </w:rPr>
      </w:pPr>
      <w:r>
        <w:t>Oddział w Siedlcach</w:t>
      </w:r>
    </w:p>
    <w:p w14:paraId="50EF5629" w14:textId="77777777" w:rsidR="009A58C4" w:rsidRDefault="009A58C4" w:rsidP="00412C4D">
      <w:pPr>
        <w:spacing w:before="120" w:beforeAutospacing="0" w:after="120" w:afterAutospacing="0"/>
        <w:rPr>
          <w:rFonts w:asciiTheme="minorHAnsi" w:hAnsiTheme="minorHAnsi" w:cstheme="minorHAnsi"/>
          <w:b/>
          <w:bCs/>
          <w:color w:val="000000" w:themeColor="text1"/>
          <w:sz w:val="22"/>
        </w:rPr>
      </w:pPr>
    </w:p>
    <w:p w14:paraId="043F91EA" w14:textId="6BD5B035" w:rsidR="009A58C4" w:rsidRPr="0083467C" w:rsidRDefault="00C8099F" w:rsidP="00412C4D">
      <w:pPr>
        <w:spacing w:before="120" w:beforeAutospacing="0" w:after="120" w:afterAutospacing="0"/>
        <w:rPr>
          <w:rFonts w:asciiTheme="minorHAnsi" w:hAnsiTheme="minorHAnsi" w:cstheme="minorHAnsi"/>
          <w:b/>
          <w:bCs/>
          <w:color w:val="000000" w:themeColor="text1"/>
          <w:sz w:val="22"/>
          <w:szCs w:val="24"/>
        </w:rPr>
      </w:pPr>
      <w:r w:rsidRPr="0083467C">
        <w:rPr>
          <w:rFonts w:asciiTheme="minorHAnsi" w:hAnsiTheme="minorHAnsi" w:cstheme="minorHAnsi"/>
          <w:b/>
          <w:bCs/>
          <w:color w:val="000000" w:themeColor="text1"/>
          <w:sz w:val="22"/>
          <w:szCs w:val="24"/>
        </w:rPr>
        <w:t>Renta wdowi</w:t>
      </w:r>
      <w:r w:rsidR="00E07679">
        <w:rPr>
          <w:rFonts w:asciiTheme="minorHAnsi" w:hAnsiTheme="minorHAnsi" w:cstheme="minorHAnsi"/>
          <w:b/>
          <w:bCs/>
          <w:color w:val="000000" w:themeColor="text1"/>
          <w:sz w:val="22"/>
          <w:szCs w:val="24"/>
        </w:rPr>
        <w:t>a – wnioski od stycznia 2025 r., wypłata od lipca 2025 r.</w:t>
      </w:r>
    </w:p>
    <w:p w14:paraId="0958DC61" w14:textId="58958299" w:rsidR="00D755A5" w:rsidRPr="00D755A5" w:rsidRDefault="00D755A5" w:rsidP="00D755A5">
      <w:pPr>
        <w:spacing w:before="120" w:beforeAutospacing="0" w:after="120" w:afterAutospacing="0"/>
        <w:rPr>
          <w:rFonts w:asciiTheme="minorHAnsi" w:hAnsiTheme="minorHAnsi" w:cstheme="minorHAnsi"/>
          <w:bCs/>
          <w:color w:val="000000" w:themeColor="text1"/>
          <w:sz w:val="22"/>
          <w:szCs w:val="24"/>
        </w:rPr>
      </w:pPr>
      <w:r w:rsidRPr="00D755A5">
        <w:rPr>
          <w:rFonts w:asciiTheme="minorHAnsi" w:hAnsiTheme="minorHAnsi" w:cstheme="minorHAnsi"/>
          <w:bCs/>
          <w:color w:val="000000" w:themeColor="text1"/>
          <w:sz w:val="22"/>
          <w:szCs w:val="24"/>
        </w:rPr>
        <w:t xml:space="preserve">W 2025 r. </w:t>
      </w:r>
      <w:r w:rsidR="00C8099F" w:rsidRPr="00D755A5">
        <w:rPr>
          <w:rFonts w:asciiTheme="minorHAnsi" w:hAnsiTheme="minorHAnsi" w:cstheme="minorHAnsi"/>
          <w:bCs/>
          <w:color w:val="000000" w:themeColor="text1"/>
          <w:sz w:val="22"/>
          <w:szCs w:val="24"/>
        </w:rPr>
        <w:t xml:space="preserve">wejdą w życie przepisy, które wprowadzają możliwość łączenia wypłaty renty </w:t>
      </w:r>
      <w:r w:rsidRPr="00D755A5">
        <w:rPr>
          <w:rFonts w:asciiTheme="minorHAnsi" w:hAnsiTheme="minorHAnsi" w:cstheme="minorHAnsi"/>
          <w:bCs/>
          <w:color w:val="000000" w:themeColor="text1"/>
          <w:sz w:val="22"/>
          <w:szCs w:val="24"/>
        </w:rPr>
        <w:t xml:space="preserve">rodzinnej </w:t>
      </w:r>
      <w:r>
        <w:rPr>
          <w:rFonts w:asciiTheme="minorHAnsi" w:hAnsiTheme="minorHAnsi" w:cstheme="minorHAnsi"/>
          <w:bCs/>
          <w:color w:val="000000" w:themeColor="text1"/>
          <w:sz w:val="22"/>
          <w:szCs w:val="24"/>
        </w:rPr>
        <w:br/>
      </w:r>
      <w:r w:rsidRPr="00D755A5">
        <w:rPr>
          <w:rFonts w:asciiTheme="minorHAnsi" w:hAnsiTheme="minorHAnsi" w:cstheme="minorHAnsi"/>
          <w:bCs/>
          <w:color w:val="000000" w:themeColor="text1"/>
          <w:sz w:val="22"/>
          <w:szCs w:val="24"/>
        </w:rPr>
        <w:t xml:space="preserve">z innym świadczeniem. „Renta wdowia” jest przeznaczona dla wdów i wdowców, którzy mają prawo do co najmniej dwóch świadczeń emerytalno-rentowych, z których jedno stanowi renta rodzinna </w:t>
      </w:r>
      <w:r>
        <w:rPr>
          <w:rFonts w:asciiTheme="minorHAnsi" w:hAnsiTheme="minorHAnsi" w:cstheme="minorHAnsi"/>
          <w:bCs/>
          <w:color w:val="000000" w:themeColor="text1"/>
          <w:sz w:val="22"/>
          <w:szCs w:val="24"/>
        </w:rPr>
        <w:br/>
      </w:r>
      <w:r w:rsidRPr="00D755A5">
        <w:rPr>
          <w:rFonts w:asciiTheme="minorHAnsi" w:hAnsiTheme="minorHAnsi" w:cstheme="minorHAnsi"/>
          <w:bCs/>
          <w:color w:val="000000" w:themeColor="text1"/>
          <w:sz w:val="22"/>
          <w:szCs w:val="24"/>
        </w:rPr>
        <w:t xml:space="preserve">po zmarłym małżonku. </w:t>
      </w:r>
      <w:r w:rsidR="00C8099F" w:rsidRPr="00D755A5">
        <w:rPr>
          <w:rFonts w:asciiTheme="minorHAnsi" w:hAnsiTheme="minorHAnsi" w:cstheme="minorHAnsi"/>
          <w:bCs/>
          <w:color w:val="000000" w:themeColor="text1"/>
          <w:sz w:val="22"/>
          <w:szCs w:val="24"/>
        </w:rPr>
        <w:t xml:space="preserve">np. emeryturą. </w:t>
      </w:r>
    </w:p>
    <w:p w14:paraId="1F29A06F" w14:textId="77777777" w:rsidR="00C329F7" w:rsidRPr="00F123FC" w:rsidRDefault="00C329F7" w:rsidP="00C329F7">
      <w:pPr>
        <w:spacing w:before="120" w:beforeAutospacing="0" w:after="120" w:afterAutospacing="0"/>
        <w:rPr>
          <w:rFonts w:asciiTheme="minorHAnsi" w:hAnsiTheme="minorHAnsi" w:cstheme="minorHAnsi"/>
          <w:b/>
          <w:bCs/>
          <w:color w:val="000000" w:themeColor="text1"/>
          <w:sz w:val="22"/>
        </w:rPr>
      </w:pPr>
      <w:r w:rsidRPr="00F123FC">
        <w:rPr>
          <w:rFonts w:asciiTheme="minorHAnsi" w:hAnsiTheme="minorHAnsi" w:cstheme="minorHAnsi"/>
          <w:b/>
          <w:bCs/>
          <w:color w:val="000000" w:themeColor="text1"/>
          <w:sz w:val="22"/>
        </w:rPr>
        <w:t>Kiedy możesz złożyć wn</w:t>
      </w:r>
      <w:r>
        <w:rPr>
          <w:rFonts w:asciiTheme="minorHAnsi" w:hAnsiTheme="minorHAnsi" w:cstheme="minorHAnsi"/>
          <w:b/>
          <w:bCs/>
          <w:color w:val="000000" w:themeColor="text1"/>
          <w:sz w:val="22"/>
        </w:rPr>
        <w:t>iosek o ustalenie renty wdowiej</w:t>
      </w:r>
    </w:p>
    <w:p w14:paraId="6D759AB9" w14:textId="4D4016B9" w:rsidR="00C329F7" w:rsidRDefault="00C329F7" w:rsidP="00C329F7">
      <w:pPr>
        <w:spacing w:before="120" w:beforeAutospacing="0" w:after="120" w:afterAutospacing="0"/>
        <w:rPr>
          <w:rFonts w:asciiTheme="minorHAnsi" w:hAnsiTheme="minorHAnsi" w:cstheme="minorHAnsi"/>
          <w:bCs/>
          <w:color w:val="000000" w:themeColor="text1"/>
          <w:sz w:val="22"/>
        </w:rPr>
      </w:pPr>
      <w:r w:rsidRPr="0083467C">
        <w:rPr>
          <w:rFonts w:asciiTheme="minorHAnsi" w:hAnsiTheme="minorHAnsi" w:cstheme="minorHAnsi"/>
          <w:bCs/>
          <w:color w:val="000000" w:themeColor="text1"/>
          <w:sz w:val="22"/>
        </w:rPr>
        <w:t>Aby otrzymywać rentę wdowią złóż wniosek o ustalenie zbiegu świadczeń z rentą rodzinną (ERWD)</w:t>
      </w:r>
      <w:r>
        <w:rPr>
          <w:rFonts w:asciiTheme="minorHAnsi" w:hAnsiTheme="minorHAnsi" w:cstheme="minorHAnsi"/>
          <w:bCs/>
          <w:color w:val="000000" w:themeColor="text1"/>
          <w:sz w:val="22"/>
        </w:rPr>
        <w:t>:</w:t>
      </w:r>
    </w:p>
    <w:p w14:paraId="1AFC73A1" w14:textId="1B4B7C51" w:rsidR="00C329F7" w:rsidRPr="00C329F7" w:rsidRDefault="00C329F7" w:rsidP="00C329F7">
      <w:pPr>
        <w:pStyle w:val="Akapitzlist"/>
        <w:numPr>
          <w:ilvl w:val="0"/>
          <w:numId w:val="8"/>
        </w:numPr>
        <w:spacing w:before="120" w:after="120"/>
        <w:rPr>
          <w:rFonts w:asciiTheme="minorHAnsi" w:hAnsiTheme="minorHAnsi" w:cstheme="minorHAnsi"/>
          <w:bCs/>
          <w:color w:val="000000" w:themeColor="text1"/>
        </w:rPr>
      </w:pPr>
      <w:r>
        <w:rPr>
          <w:rFonts w:asciiTheme="minorHAnsi" w:hAnsiTheme="minorHAnsi" w:cstheme="minorHAnsi"/>
          <w:bCs/>
          <w:color w:val="000000" w:themeColor="text1"/>
        </w:rPr>
        <w:t>o</w:t>
      </w:r>
      <w:r w:rsidRPr="00C329F7">
        <w:rPr>
          <w:rFonts w:asciiTheme="minorHAnsi" w:hAnsiTheme="minorHAnsi" w:cstheme="minorHAnsi"/>
          <w:bCs/>
          <w:color w:val="000000" w:themeColor="text1"/>
        </w:rPr>
        <w:t>d stycznia do lipca 2025 r. aby otrzymać wypłatę od 1 lipca</w:t>
      </w:r>
      <w:r>
        <w:rPr>
          <w:rFonts w:asciiTheme="minorHAnsi" w:hAnsiTheme="minorHAnsi" w:cstheme="minorHAnsi"/>
          <w:bCs/>
          <w:color w:val="000000" w:themeColor="text1"/>
        </w:rPr>
        <w:t xml:space="preserve"> (bez wyrównania);</w:t>
      </w:r>
    </w:p>
    <w:p w14:paraId="61ECAEE5" w14:textId="1BA84867" w:rsidR="00C329F7" w:rsidRPr="00C329F7" w:rsidRDefault="00C329F7" w:rsidP="00C329F7">
      <w:pPr>
        <w:pStyle w:val="Akapitzlist"/>
        <w:numPr>
          <w:ilvl w:val="0"/>
          <w:numId w:val="8"/>
        </w:numPr>
        <w:spacing w:before="120" w:after="120"/>
        <w:rPr>
          <w:rFonts w:asciiTheme="minorHAnsi" w:hAnsiTheme="minorHAnsi" w:cstheme="minorHAnsi"/>
          <w:bCs/>
          <w:color w:val="000000" w:themeColor="text1"/>
        </w:rPr>
      </w:pPr>
      <w:r w:rsidRPr="00C329F7">
        <w:rPr>
          <w:rFonts w:asciiTheme="minorHAnsi" w:hAnsiTheme="minorHAnsi" w:cstheme="minorHAnsi"/>
          <w:bCs/>
          <w:color w:val="000000" w:themeColor="text1"/>
        </w:rPr>
        <w:t xml:space="preserve">po 31 lipca 2025 r. </w:t>
      </w:r>
      <w:r>
        <w:rPr>
          <w:rFonts w:asciiTheme="minorHAnsi" w:hAnsiTheme="minorHAnsi" w:cstheme="minorHAnsi"/>
          <w:bCs/>
          <w:color w:val="000000" w:themeColor="text1"/>
        </w:rPr>
        <w:t xml:space="preserve">- </w:t>
      </w:r>
      <w:r w:rsidRPr="00C329F7">
        <w:rPr>
          <w:rFonts w:asciiTheme="minorHAnsi" w:hAnsiTheme="minorHAnsi" w:cstheme="minorHAnsi"/>
          <w:bCs/>
          <w:color w:val="000000" w:themeColor="text1"/>
        </w:rPr>
        <w:t>wypłatę będziemy mogli podjąć od dnia, w którym spełnisz warunki, jednak nie wcześniej niż od miesiąca, w którym złożysz wniosek.</w:t>
      </w:r>
    </w:p>
    <w:p w14:paraId="665FD794" w14:textId="4129AB59" w:rsidR="00F123FC" w:rsidRPr="00983B10" w:rsidRDefault="00F123FC" w:rsidP="00F123FC">
      <w:pPr>
        <w:spacing w:before="120" w:beforeAutospacing="0" w:after="120" w:afterAutospacing="0"/>
        <w:rPr>
          <w:rFonts w:asciiTheme="minorHAnsi" w:hAnsiTheme="minorHAnsi" w:cstheme="minorHAnsi"/>
          <w:b/>
          <w:bCs/>
          <w:color w:val="000000" w:themeColor="text1"/>
          <w:sz w:val="22"/>
          <w:szCs w:val="24"/>
        </w:rPr>
      </w:pPr>
      <w:r w:rsidRPr="00983B10">
        <w:rPr>
          <w:rFonts w:asciiTheme="minorHAnsi" w:hAnsiTheme="minorHAnsi" w:cstheme="minorHAnsi"/>
          <w:b/>
          <w:bCs/>
          <w:color w:val="000000" w:themeColor="text1"/>
          <w:sz w:val="22"/>
          <w:szCs w:val="24"/>
        </w:rPr>
        <w:t>Żebyśmy mogli wypłacić świadczenie łącznie z rentą rodzinną, musisz speł</w:t>
      </w:r>
      <w:r w:rsidR="0083467C" w:rsidRPr="00983B10">
        <w:rPr>
          <w:rFonts w:asciiTheme="minorHAnsi" w:hAnsiTheme="minorHAnsi" w:cstheme="minorHAnsi"/>
          <w:b/>
          <w:bCs/>
          <w:color w:val="000000" w:themeColor="text1"/>
          <w:sz w:val="22"/>
          <w:szCs w:val="24"/>
        </w:rPr>
        <w:t>nić wszystkie poniższe warunki:</w:t>
      </w:r>
    </w:p>
    <w:p w14:paraId="05DE3544" w14:textId="77777777" w:rsidR="00F123FC" w:rsidRPr="0083467C" w:rsidRDefault="00F123FC" w:rsidP="0083467C">
      <w:pPr>
        <w:pStyle w:val="Akapitzlist"/>
        <w:numPr>
          <w:ilvl w:val="0"/>
          <w:numId w:val="5"/>
        </w:numPr>
        <w:spacing w:before="120" w:after="120"/>
        <w:rPr>
          <w:rFonts w:asciiTheme="minorHAnsi" w:hAnsiTheme="minorHAnsi" w:cstheme="minorHAnsi"/>
          <w:bCs/>
          <w:color w:val="000000" w:themeColor="text1"/>
          <w:szCs w:val="24"/>
        </w:rPr>
      </w:pPr>
      <w:r w:rsidRPr="0083467C">
        <w:rPr>
          <w:rFonts w:asciiTheme="minorHAnsi" w:hAnsiTheme="minorHAnsi" w:cstheme="minorHAnsi"/>
          <w:bCs/>
          <w:color w:val="000000" w:themeColor="text1"/>
          <w:szCs w:val="24"/>
        </w:rPr>
        <w:t>masz co najmniej 60 lat (jeśli jesteś kobietą) i 65 lat (jeśli jesteś mężczyzną),</w:t>
      </w:r>
    </w:p>
    <w:p w14:paraId="38AE25C7" w14:textId="183C8E1F" w:rsidR="00F123FC" w:rsidRPr="0083467C" w:rsidRDefault="00F123FC" w:rsidP="0083467C">
      <w:pPr>
        <w:pStyle w:val="Akapitzlist"/>
        <w:numPr>
          <w:ilvl w:val="0"/>
          <w:numId w:val="5"/>
        </w:numPr>
        <w:spacing w:before="120" w:after="120"/>
        <w:rPr>
          <w:rFonts w:asciiTheme="minorHAnsi" w:hAnsiTheme="minorHAnsi" w:cstheme="minorHAnsi"/>
          <w:bCs/>
          <w:color w:val="000000" w:themeColor="text1"/>
          <w:szCs w:val="24"/>
        </w:rPr>
      </w:pPr>
      <w:r w:rsidRPr="0083467C">
        <w:rPr>
          <w:rFonts w:asciiTheme="minorHAnsi" w:hAnsiTheme="minorHAnsi" w:cstheme="minorHAnsi"/>
          <w:bCs/>
          <w:color w:val="000000" w:themeColor="text1"/>
          <w:szCs w:val="24"/>
        </w:rPr>
        <w:t xml:space="preserve">do dnia śmierci Twojego małżonka (lub małżonki) pozostawałaś (lub pozostawałeś) z nim (lub </w:t>
      </w:r>
      <w:r w:rsidR="0083467C">
        <w:rPr>
          <w:rFonts w:asciiTheme="minorHAnsi" w:hAnsiTheme="minorHAnsi" w:cstheme="minorHAnsi"/>
          <w:bCs/>
          <w:color w:val="000000" w:themeColor="text1"/>
          <w:szCs w:val="24"/>
        </w:rPr>
        <w:br/>
      </w:r>
      <w:r w:rsidRPr="0083467C">
        <w:rPr>
          <w:rFonts w:asciiTheme="minorHAnsi" w:hAnsiTheme="minorHAnsi" w:cstheme="minorHAnsi"/>
          <w:bCs/>
          <w:color w:val="000000" w:themeColor="text1"/>
          <w:szCs w:val="24"/>
        </w:rPr>
        <w:t>z nią) we wspólności małżeńskiej,</w:t>
      </w:r>
    </w:p>
    <w:p w14:paraId="0BEC265A" w14:textId="6624F40E" w:rsidR="00F123FC" w:rsidRPr="0083467C" w:rsidRDefault="00F123FC" w:rsidP="0083467C">
      <w:pPr>
        <w:pStyle w:val="Akapitzlist"/>
        <w:numPr>
          <w:ilvl w:val="0"/>
          <w:numId w:val="5"/>
        </w:numPr>
        <w:spacing w:before="120" w:after="120"/>
        <w:rPr>
          <w:rFonts w:asciiTheme="minorHAnsi" w:hAnsiTheme="minorHAnsi" w:cstheme="minorHAnsi"/>
          <w:bCs/>
          <w:color w:val="000000" w:themeColor="text1"/>
          <w:szCs w:val="24"/>
        </w:rPr>
      </w:pPr>
      <w:r w:rsidRPr="0083467C">
        <w:rPr>
          <w:rFonts w:asciiTheme="minorHAnsi" w:hAnsiTheme="minorHAnsi" w:cstheme="minorHAnsi"/>
          <w:bCs/>
          <w:color w:val="000000" w:themeColor="text1"/>
          <w:szCs w:val="24"/>
        </w:rPr>
        <w:t xml:space="preserve">nabyłaś lub nabyłeś prawo do renty rodzinnej po zmarłym małżonku nie wcześniej niż w dniu, </w:t>
      </w:r>
      <w:r w:rsidR="0083467C">
        <w:rPr>
          <w:rFonts w:asciiTheme="minorHAnsi" w:hAnsiTheme="minorHAnsi" w:cstheme="minorHAnsi"/>
          <w:bCs/>
          <w:color w:val="000000" w:themeColor="text1"/>
          <w:szCs w:val="24"/>
        </w:rPr>
        <w:br/>
      </w:r>
      <w:r w:rsidRPr="0083467C">
        <w:rPr>
          <w:rFonts w:asciiTheme="minorHAnsi" w:hAnsiTheme="minorHAnsi" w:cstheme="minorHAnsi"/>
          <w:bCs/>
          <w:color w:val="000000" w:themeColor="text1"/>
          <w:szCs w:val="24"/>
        </w:rPr>
        <w:t>w którym ukończyłaś 55 lat, jeśli jesteś kobietą lub ukończyłeś 60 lat, jeśli jesteś mężczyzną,</w:t>
      </w:r>
    </w:p>
    <w:p w14:paraId="7D88031D" w14:textId="77777777" w:rsidR="00F123FC" w:rsidRPr="0083467C" w:rsidRDefault="00F123FC" w:rsidP="0083467C">
      <w:pPr>
        <w:pStyle w:val="Akapitzlist"/>
        <w:numPr>
          <w:ilvl w:val="0"/>
          <w:numId w:val="5"/>
        </w:numPr>
        <w:spacing w:before="120" w:after="120"/>
        <w:rPr>
          <w:rFonts w:asciiTheme="minorHAnsi" w:hAnsiTheme="minorHAnsi" w:cstheme="minorHAnsi"/>
          <w:bCs/>
          <w:color w:val="000000" w:themeColor="text1"/>
          <w:szCs w:val="24"/>
        </w:rPr>
      </w:pPr>
      <w:r w:rsidRPr="0083467C">
        <w:rPr>
          <w:rFonts w:asciiTheme="minorHAnsi" w:hAnsiTheme="minorHAnsi" w:cstheme="minorHAnsi"/>
          <w:bCs/>
          <w:color w:val="000000" w:themeColor="text1"/>
          <w:szCs w:val="24"/>
        </w:rPr>
        <w:t>nie jesteś obecnie w związku małżeńskim.</w:t>
      </w:r>
    </w:p>
    <w:p w14:paraId="46100C2E" w14:textId="77777777" w:rsidR="00FE7E42" w:rsidRDefault="00FE7E42" w:rsidP="00F123FC">
      <w:pPr>
        <w:spacing w:before="120" w:beforeAutospacing="0" w:after="120" w:afterAutospacing="0"/>
        <w:rPr>
          <w:rFonts w:asciiTheme="minorHAnsi" w:hAnsiTheme="minorHAnsi" w:cstheme="minorHAnsi"/>
          <w:bCs/>
          <w:color w:val="000000" w:themeColor="text1"/>
          <w:sz w:val="22"/>
          <w:szCs w:val="24"/>
        </w:rPr>
      </w:pPr>
      <w:r w:rsidRPr="00FE7E42">
        <w:rPr>
          <w:rFonts w:asciiTheme="minorHAnsi" w:hAnsiTheme="minorHAnsi" w:cstheme="minorHAnsi"/>
          <w:bCs/>
          <w:color w:val="000000" w:themeColor="text1"/>
          <w:sz w:val="22"/>
          <w:szCs w:val="24"/>
        </w:rPr>
        <w:t xml:space="preserve">Nowe przepisy umożliwią łączenie renty rodzinnej z innymi świadczeniami emerytalno-rentowymi przysługującymi w organach, takich jak Zakład Ubezpieczeń Społecznych, Kasa Rolniczego Ubezpieczenia Społecznego, Wojskowe Biuro Emerytalne, Zakład Emerytalno-Rentowy MSWiA oraz Biuro Emerytalne Służby Więziennej. </w:t>
      </w:r>
    </w:p>
    <w:p w14:paraId="393CE635" w14:textId="70B025F0" w:rsidR="00F123FC" w:rsidRPr="00983B10" w:rsidRDefault="00F123FC" w:rsidP="00F123FC">
      <w:pPr>
        <w:spacing w:before="120" w:beforeAutospacing="0" w:after="120" w:afterAutospacing="0"/>
        <w:rPr>
          <w:rFonts w:asciiTheme="minorHAnsi" w:hAnsiTheme="minorHAnsi" w:cstheme="minorHAnsi"/>
          <w:bCs/>
          <w:color w:val="000000" w:themeColor="text1"/>
          <w:sz w:val="22"/>
          <w:szCs w:val="24"/>
        </w:rPr>
      </w:pPr>
      <w:r w:rsidRPr="00983B10">
        <w:rPr>
          <w:rFonts w:asciiTheme="minorHAnsi" w:hAnsiTheme="minorHAnsi" w:cstheme="minorHAnsi"/>
          <w:bCs/>
          <w:color w:val="000000" w:themeColor="text1"/>
          <w:sz w:val="22"/>
          <w:szCs w:val="24"/>
        </w:rPr>
        <w:t>Prawo do wypłaty świadczeń łącznie z rentą rodzinną ustaje, jeśli z</w:t>
      </w:r>
      <w:r w:rsidR="0083467C" w:rsidRPr="00983B10">
        <w:rPr>
          <w:rFonts w:asciiTheme="minorHAnsi" w:hAnsiTheme="minorHAnsi" w:cstheme="minorHAnsi"/>
          <w:bCs/>
          <w:color w:val="000000" w:themeColor="text1"/>
          <w:sz w:val="22"/>
          <w:szCs w:val="24"/>
        </w:rPr>
        <w:t>awrzesz nowy związek małżeński.</w:t>
      </w:r>
    </w:p>
    <w:p w14:paraId="0C0B4863" w14:textId="77777777" w:rsidR="00983B10" w:rsidRPr="00983B10" w:rsidRDefault="00983B10" w:rsidP="00983B10">
      <w:pPr>
        <w:spacing w:before="120" w:beforeAutospacing="0" w:after="120" w:afterAutospacing="0"/>
        <w:rPr>
          <w:rFonts w:asciiTheme="minorHAnsi" w:hAnsiTheme="minorHAnsi" w:cstheme="minorHAnsi"/>
          <w:b/>
          <w:bCs/>
          <w:color w:val="000000" w:themeColor="text1"/>
          <w:sz w:val="22"/>
          <w:szCs w:val="24"/>
        </w:rPr>
      </w:pPr>
      <w:r w:rsidRPr="00983B10">
        <w:rPr>
          <w:rFonts w:asciiTheme="minorHAnsi" w:hAnsiTheme="minorHAnsi" w:cstheme="minorHAnsi"/>
          <w:b/>
          <w:bCs/>
          <w:color w:val="000000" w:themeColor="text1"/>
          <w:sz w:val="22"/>
          <w:szCs w:val="24"/>
        </w:rPr>
        <w:t>Ile wyniesie renta wdowia?</w:t>
      </w:r>
    </w:p>
    <w:p w14:paraId="29639E26" w14:textId="77777777" w:rsidR="00FE7E42" w:rsidRDefault="00983B10" w:rsidP="00F123FC">
      <w:pPr>
        <w:spacing w:before="120" w:beforeAutospacing="0" w:after="120" w:afterAutospacing="0"/>
        <w:rPr>
          <w:rFonts w:asciiTheme="minorHAnsi" w:hAnsiTheme="minorHAnsi" w:cstheme="minorHAnsi"/>
          <w:bCs/>
          <w:color w:val="000000" w:themeColor="text1"/>
          <w:sz w:val="22"/>
          <w:szCs w:val="24"/>
        </w:rPr>
      </w:pPr>
      <w:r w:rsidRPr="00983B10">
        <w:rPr>
          <w:rFonts w:asciiTheme="minorHAnsi" w:hAnsiTheme="minorHAnsi" w:cstheme="minorHAnsi"/>
          <w:bCs/>
          <w:color w:val="000000" w:themeColor="text1"/>
          <w:sz w:val="22"/>
          <w:szCs w:val="24"/>
        </w:rPr>
        <w:t xml:space="preserve">Obecnie wdowy i wdowcy mogą pobierać jedno świadczenie – wyższe lub wybrane spośród dwóch dostępnych opcji: rentę rodzinna lub własne świadczenie, takie jak np. emerytura, renta z tytułu niezdolności do pracy czy emerytura rolnicza. W przyszłym roku będą mieli możliwość wyboru: </w:t>
      </w:r>
    </w:p>
    <w:p w14:paraId="3E33754B" w14:textId="77777777" w:rsidR="00FE7E42" w:rsidRPr="0083467C" w:rsidRDefault="00FE7E42" w:rsidP="00FE7E42">
      <w:pPr>
        <w:pStyle w:val="Akapitzlist"/>
        <w:numPr>
          <w:ilvl w:val="0"/>
          <w:numId w:val="7"/>
        </w:numPr>
        <w:spacing w:before="120" w:after="120"/>
        <w:rPr>
          <w:rFonts w:asciiTheme="minorHAnsi" w:hAnsiTheme="minorHAnsi" w:cstheme="minorHAnsi"/>
          <w:bCs/>
          <w:color w:val="000000" w:themeColor="text1"/>
        </w:rPr>
      </w:pPr>
      <w:r w:rsidRPr="0083467C">
        <w:rPr>
          <w:rFonts w:asciiTheme="minorHAnsi" w:hAnsiTheme="minorHAnsi" w:cstheme="minorHAnsi"/>
          <w:bCs/>
          <w:color w:val="000000" w:themeColor="text1"/>
        </w:rPr>
        <w:t>100% renty rodzinnej i 15% własnego świadczenia albo</w:t>
      </w:r>
    </w:p>
    <w:p w14:paraId="5727A1E6" w14:textId="01A1B228" w:rsidR="00FE7E42" w:rsidRPr="0083467C" w:rsidRDefault="00FE7E42" w:rsidP="00FE7E42">
      <w:pPr>
        <w:pStyle w:val="Akapitzlist"/>
        <w:numPr>
          <w:ilvl w:val="0"/>
          <w:numId w:val="7"/>
        </w:numPr>
        <w:spacing w:before="120" w:after="120"/>
        <w:rPr>
          <w:rFonts w:asciiTheme="minorHAnsi" w:hAnsiTheme="minorHAnsi" w:cstheme="minorHAnsi"/>
          <w:bCs/>
          <w:color w:val="000000" w:themeColor="text1"/>
        </w:rPr>
      </w:pPr>
      <w:r w:rsidRPr="0083467C">
        <w:rPr>
          <w:rFonts w:asciiTheme="minorHAnsi" w:hAnsiTheme="minorHAnsi" w:cstheme="minorHAnsi"/>
          <w:bCs/>
          <w:color w:val="000000" w:themeColor="text1"/>
        </w:rPr>
        <w:t>100% własnego św</w:t>
      </w:r>
      <w:r>
        <w:rPr>
          <w:rFonts w:asciiTheme="minorHAnsi" w:hAnsiTheme="minorHAnsi" w:cstheme="minorHAnsi"/>
          <w:bCs/>
          <w:color w:val="000000" w:themeColor="text1"/>
        </w:rPr>
        <w:t>iadczenia i 15% renty rodzinnej</w:t>
      </w:r>
      <w:r w:rsidR="00F67304">
        <w:rPr>
          <w:rFonts w:asciiTheme="minorHAnsi" w:hAnsiTheme="minorHAnsi" w:cstheme="minorHAnsi"/>
          <w:bCs/>
          <w:color w:val="000000" w:themeColor="text1"/>
        </w:rPr>
        <w:t>.</w:t>
      </w:r>
    </w:p>
    <w:p w14:paraId="535339F2" w14:textId="77777777" w:rsidR="00FE7E42" w:rsidRDefault="00FE7E42" w:rsidP="00F123FC">
      <w:pPr>
        <w:spacing w:before="120" w:after="120"/>
        <w:rPr>
          <w:rFonts w:asciiTheme="minorHAnsi" w:hAnsiTheme="minorHAnsi" w:cstheme="minorHAnsi"/>
          <w:bCs/>
          <w:color w:val="000000" w:themeColor="text1"/>
          <w:sz w:val="22"/>
        </w:rPr>
      </w:pPr>
      <w:r w:rsidRPr="00FE7E42">
        <w:rPr>
          <w:rFonts w:asciiTheme="minorHAnsi" w:hAnsiTheme="minorHAnsi" w:cstheme="minorHAnsi"/>
          <w:bCs/>
          <w:color w:val="000000" w:themeColor="text1"/>
          <w:sz w:val="22"/>
        </w:rPr>
        <w:t>Sam zdecydujesz, z której opcji chcesz skorzystać. 1 stycznia 2025 r. na naszej stronie internetowej zamieścimy specjalny kalkulator, który pomoże wybrać Ci korzystniejszy wariant. Dzięki temu narzędziu samodzielnie obliczysz szacunkową łączną kwotę świadczeń. O pomoc będziesz mógł również poprosić pracowników ZUS.</w:t>
      </w:r>
    </w:p>
    <w:p w14:paraId="66BEADC7" w14:textId="77777777" w:rsidR="00F67304" w:rsidRDefault="00FE7E42" w:rsidP="00F67304">
      <w:pPr>
        <w:spacing w:before="120" w:after="120"/>
        <w:rPr>
          <w:rFonts w:asciiTheme="minorHAnsi" w:hAnsiTheme="minorHAnsi" w:cstheme="minorHAnsi"/>
          <w:bCs/>
          <w:color w:val="000000" w:themeColor="text1"/>
          <w:sz w:val="22"/>
        </w:rPr>
      </w:pPr>
      <w:r w:rsidRPr="00FE7E42">
        <w:rPr>
          <w:rFonts w:asciiTheme="minorHAnsi" w:hAnsiTheme="minorHAnsi" w:cstheme="minorHAnsi"/>
          <w:bCs/>
          <w:color w:val="000000" w:themeColor="text1"/>
          <w:sz w:val="22"/>
        </w:rPr>
        <w:t>Wysokość</w:t>
      </w:r>
      <w:r>
        <w:rPr>
          <w:rFonts w:asciiTheme="minorHAnsi" w:hAnsiTheme="minorHAnsi" w:cstheme="minorHAnsi"/>
          <w:b/>
          <w:bCs/>
          <w:color w:val="000000" w:themeColor="text1"/>
          <w:sz w:val="22"/>
        </w:rPr>
        <w:t xml:space="preserve"> </w:t>
      </w:r>
      <w:r>
        <w:rPr>
          <w:rFonts w:asciiTheme="minorHAnsi" w:hAnsiTheme="minorHAnsi" w:cstheme="minorHAnsi"/>
          <w:bCs/>
          <w:color w:val="000000" w:themeColor="text1"/>
          <w:sz w:val="22"/>
        </w:rPr>
        <w:t>sumy</w:t>
      </w:r>
      <w:r w:rsidR="00F123FC" w:rsidRPr="0083467C">
        <w:rPr>
          <w:rFonts w:asciiTheme="minorHAnsi" w:hAnsiTheme="minorHAnsi" w:cstheme="minorHAnsi"/>
          <w:bCs/>
          <w:color w:val="000000" w:themeColor="text1"/>
          <w:sz w:val="22"/>
        </w:rPr>
        <w:t xml:space="preserve"> wypłacanych świadczeń </w:t>
      </w:r>
      <w:r>
        <w:rPr>
          <w:rFonts w:asciiTheme="minorHAnsi" w:hAnsiTheme="minorHAnsi" w:cstheme="minorHAnsi"/>
          <w:bCs/>
          <w:color w:val="000000" w:themeColor="text1"/>
          <w:sz w:val="22"/>
        </w:rPr>
        <w:t xml:space="preserve">w zbiegu </w:t>
      </w:r>
      <w:r w:rsidR="00F123FC" w:rsidRPr="0083467C">
        <w:rPr>
          <w:rFonts w:asciiTheme="minorHAnsi" w:hAnsiTheme="minorHAnsi" w:cstheme="minorHAnsi"/>
          <w:bCs/>
          <w:color w:val="000000" w:themeColor="text1"/>
          <w:sz w:val="22"/>
        </w:rPr>
        <w:t>nie może przekroczyć trzykrotności najniższej emerytury. Do tego limitu wliczamy świadczenia, które będą wypłacane łącznie, a także świadczenia wypłacane przez instytucje zagraniczne oraz inne niż jednorazowe świadczenia i dodatki wypłacane na podstawie ustawy emerytalnej lub odrębnych przepisów.</w:t>
      </w:r>
      <w:r w:rsidR="00F67304" w:rsidRPr="00F67304">
        <w:rPr>
          <w:rFonts w:asciiTheme="minorHAnsi" w:hAnsiTheme="minorHAnsi" w:cstheme="minorHAnsi"/>
          <w:bCs/>
          <w:color w:val="000000" w:themeColor="text1"/>
          <w:sz w:val="22"/>
        </w:rPr>
        <w:t xml:space="preserve"> </w:t>
      </w:r>
    </w:p>
    <w:p w14:paraId="3D569B67" w14:textId="551BA8EB" w:rsidR="00F123FC" w:rsidRPr="0083467C" w:rsidRDefault="00F67304" w:rsidP="00F123FC">
      <w:pPr>
        <w:spacing w:before="120" w:after="120"/>
        <w:rPr>
          <w:rFonts w:asciiTheme="minorHAnsi" w:hAnsiTheme="minorHAnsi" w:cstheme="minorHAnsi"/>
          <w:bCs/>
          <w:color w:val="000000" w:themeColor="text1"/>
          <w:sz w:val="22"/>
        </w:rPr>
      </w:pPr>
      <w:r w:rsidRPr="0083467C">
        <w:rPr>
          <w:rFonts w:asciiTheme="minorHAnsi" w:hAnsiTheme="minorHAnsi" w:cstheme="minorHAnsi"/>
          <w:bCs/>
          <w:color w:val="000000" w:themeColor="text1"/>
          <w:sz w:val="22"/>
        </w:rPr>
        <w:t>Od 1 stycznia 2027 r. otrzymasz nie 15%</w:t>
      </w:r>
      <w:r>
        <w:rPr>
          <w:rFonts w:asciiTheme="minorHAnsi" w:hAnsiTheme="minorHAnsi" w:cstheme="minorHAnsi"/>
          <w:bCs/>
          <w:color w:val="000000" w:themeColor="text1"/>
          <w:sz w:val="22"/>
        </w:rPr>
        <w:t>, ale 25% drugiego świadczenia.</w:t>
      </w:r>
    </w:p>
    <w:p w14:paraId="01973AA8" w14:textId="77777777" w:rsidR="00F123FC" w:rsidRPr="00F123FC" w:rsidRDefault="00F123FC" w:rsidP="00F123FC">
      <w:pPr>
        <w:spacing w:before="120" w:beforeAutospacing="0" w:after="120" w:afterAutospacing="0"/>
        <w:rPr>
          <w:rFonts w:asciiTheme="minorHAnsi" w:hAnsiTheme="minorHAnsi" w:cstheme="minorHAnsi"/>
          <w:b/>
          <w:bCs/>
          <w:color w:val="000000" w:themeColor="text1"/>
          <w:sz w:val="22"/>
        </w:rPr>
      </w:pPr>
      <w:r w:rsidRPr="00F123FC">
        <w:rPr>
          <w:rFonts w:asciiTheme="minorHAnsi" w:hAnsiTheme="minorHAnsi" w:cstheme="minorHAnsi"/>
          <w:b/>
          <w:bCs/>
          <w:color w:val="000000" w:themeColor="text1"/>
          <w:sz w:val="22"/>
        </w:rPr>
        <w:lastRenderedPageBreak/>
        <w:t>Ważne!</w:t>
      </w:r>
    </w:p>
    <w:p w14:paraId="6054865C" w14:textId="6A01453A" w:rsidR="0083467C" w:rsidRPr="000D66D6" w:rsidRDefault="00F123FC" w:rsidP="009A58C4">
      <w:pPr>
        <w:spacing w:before="120" w:beforeAutospacing="0" w:after="120" w:afterAutospacing="0"/>
        <w:rPr>
          <w:rFonts w:asciiTheme="minorHAnsi" w:hAnsiTheme="minorHAnsi" w:cstheme="minorHAnsi"/>
          <w:bCs/>
          <w:color w:val="000000" w:themeColor="text1"/>
          <w:sz w:val="22"/>
        </w:rPr>
      </w:pPr>
      <w:r w:rsidRPr="0083467C">
        <w:rPr>
          <w:rFonts w:asciiTheme="minorHAnsi" w:hAnsiTheme="minorHAnsi" w:cstheme="minorHAnsi"/>
          <w:bCs/>
          <w:color w:val="000000" w:themeColor="text1"/>
          <w:sz w:val="22"/>
        </w:rPr>
        <w:t>Zanim złożysz wniosek, sprawdź, czy spełniasz wszystkie warunki wymagane do łącznej wypłaty świadczeń. Weź również pod uwagę, że łączna suma świadczeń wypłacanych nie może przekroczyć trzykrotności najniższej emerytury. Jeśli nie spełniasz chociaż jednego z warunków, to nie będziemy mogli ustalić Ci prawa do łącznej wypłaty świadczeń i wydamy decyzję odmowną. Takie decyzje będziemy mogli w</w:t>
      </w:r>
      <w:r w:rsidR="0083467C">
        <w:rPr>
          <w:rFonts w:asciiTheme="minorHAnsi" w:hAnsiTheme="minorHAnsi" w:cstheme="minorHAnsi"/>
          <w:bCs/>
          <w:color w:val="000000" w:themeColor="text1"/>
          <w:sz w:val="22"/>
        </w:rPr>
        <w:t>ydawać już przed lipcem 2025 r.</w:t>
      </w:r>
    </w:p>
    <w:p w14:paraId="5B7BA44A" w14:textId="11B09EA7" w:rsidR="009A58C4" w:rsidRPr="009A58C4" w:rsidRDefault="009A58C4" w:rsidP="00F67304">
      <w:pPr>
        <w:spacing w:before="120" w:beforeAutospacing="0" w:after="120" w:afterAutospacing="0"/>
        <w:rPr>
          <w:rFonts w:asciiTheme="minorHAnsi" w:hAnsiTheme="minorHAnsi" w:cstheme="minorHAnsi"/>
          <w:bCs/>
          <w:color w:val="000000" w:themeColor="text1"/>
        </w:rPr>
      </w:pPr>
      <w:r w:rsidRPr="009A58C4">
        <w:rPr>
          <w:rFonts w:asciiTheme="minorHAnsi" w:hAnsiTheme="minorHAnsi" w:cstheme="minorHAnsi"/>
          <w:bCs/>
          <w:color w:val="000000" w:themeColor="text1"/>
          <w:sz w:val="22"/>
        </w:rPr>
        <w:t>Więcej informacj</w:t>
      </w:r>
      <w:r>
        <w:rPr>
          <w:rFonts w:asciiTheme="minorHAnsi" w:hAnsiTheme="minorHAnsi" w:cstheme="minorHAnsi"/>
          <w:bCs/>
          <w:color w:val="000000" w:themeColor="text1"/>
          <w:sz w:val="22"/>
        </w:rPr>
        <w:t xml:space="preserve">i </w:t>
      </w:r>
      <w:r w:rsidR="00CD6DE4">
        <w:rPr>
          <w:rFonts w:asciiTheme="minorHAnsi" w:hAnsiTheme="minorHAnsi" w:cstheme="minorHAnsi"/>
          <w:bCs/>
          <w:color w:val="000000" w:themeColor="text1"/>
          <w:sz w:val="22"/>
        </w:rPr>
        <w:t xml:space="preserve">oraz szczegółowe warunki uprawniające do </w:t>
      </w:r>
      <w:r w:rsidR="00F67304">
        <w:rPr>
          <w:rFonts w:asciiTheme="minorHAnsi" w:hAnsiTheme="minorHAnsi" w:cstheme="minorHAnsi"/>
          <w:bCs/>
          <w:color w:val="000000" w:themeColor="text1"/>
          <w:sz w:val="22"/>
        </w:rPr>
        <w:t xml:space="preserve">wypłaty „renty wdowiej” dostępne są na </w:t>
      </w:r>
      <w:hyperlink r:id="rId9" w:history="1">
        <w:r w:rsidR="00F67304" w:rsidRPr="00F67304">
          <w:rPr>
            <w:rStyle w:val="Hipercze"/>
            <w:rFonts w:asciiTheme="minorHAnsi" w:hAnsiTheme="minorHAnsi" w:cstheme="minorHAnsi"/>
            <w:bCs/>
            <w:sz w:val="22"/>
          </w:rPr>
          <w:t>stronie internetowej ZUS.</w:t>
        </w:r>
      </w:hyperlink>
      <w:r w:rsidR="00F67304" w:rsidRPr="009A58C4">
        <w:rPr>
          <w:rFonts w:asciiTheme="minorHAnsi" w:hAnsiTheme="minorHAnsi" w:cstheme="minorHAnsi"/>
          <w:bCs/>
          <w:color w:val="000000" w:themeColor="text1"/>
        </w:rPr>
        <w:t xml:space="preserve"> </w:t>
      </w:r>
    </w:p>
    <w:p w14:paraId="315A93A2" w14:textId="77777777" w:rsidR="009A58C4" w:rsidRPr="009A58C4" w:rsidRDefault="009A58C4" w:rsidP="009A58C4">
      <w:pPr>
        <w:spacing w:before="120" w:beforeAutospacing="0" w:after="120" w:afterAutospacing="0"/>
        <w:rPr>
          <w:rFonts w:asciiTheme="minorHAnsi" w:hAnsiTheme="minorHAnsi" w:cstheme="minorHAnsi"/>
          <w:b/>
          <w:bCs/>
          <w:color w:val="000000" w:themeColor="text1"/>
          <w:sz w:val="22"/>
        </w:rPr>
      </w:pPr>
      <w:r w:rsidRPr="009A58C4">
        <w:rPr>
          <w:rFonts w:asciiTheme="minorHAnsi" w:hAnsiTheme="minorHAnsi" w:cstheme="minorHAnsi"/>
          <w:b/>
          <w:bCs/>
          <w:color w:val="000000" w:themeColor="text1"/>
          <w:sz w:val="22"/>
        </w:rPr>
        <w:t xml:space="preserve"> </w:t>
      </w:r>
    </w:p>
    <w:p w14:paraId="7ADE8524" w14:textId="77777777" w:rsidR="009A58C4" w:rsidRPr="009A58C4" w:rsidRDefault="009A58C4" w:rsidP="009A58C4">
      <w:pPr>
        <w:spacing w:before="120" w:beforeAutospacing="0" w:after="120" w:afterAutospacing="0"/>
        <w:rPr>
          <w:rFonts w:asciiTheme="minorHAnsi" w:hAnsiTheme="minorHAnsi" w:cstheme="minorHAnsi"/>
          <w:b/>
          <w:bCs/>
          <w:color w:val="000000" w:themeColor="text1"/>
          <w:sz w:val="22"/>
        </w:rPr>
      </w:pPr>
    </w:p>
    <w:p w14:paraId="0712C69D" w14:textId="55ADED9D" w:rsidR="00E022D6" w:rsidRPr="00412C4D" w:rsidRDefault="00E022D6" w:rsidP="00412C4D">
      <w:pPr>
        <w:spacing w:before="0" w:beforeAutospacing="0" w:after="0" w:afterAutospacing="0"/>
        <w:rPr>
          <w:rFonts w:asciiTheme="minorHAnsi" w:hAnsiTheme="minorHAnsi" w:cstheme="minorHAnsi"/>
          <w:bCs/>
          <w:color w:val="000000" w:themeColor="text1"/>
          <w:sz w:val="22"/>
        </w:rPr>
      </w:pPr>
    </w:p>
    <w:sectPr w:rsidR="00E022D6" w:rsidRPr="00412C4D">
      <w:footerReference w:type="default" r:id="rId10"/>
      <w:footerReference w:type="first" r:id="rId11"/>
      <w:pgSz w:w="11906" w:h="16838"/>
      <w:pgMar w:top="1134" w:right="1134" w:bottom="1701" w:left="1814" w:header="284" w:footer="90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CFD876" w14:textId="77777777" w:rsidR="002557EC" w:rsidRDefault="002557EC">
      <w:pPr>
        <w:spacing w:before="0" w:after="0"/>
      </w:pPr>
      <w:r>
        <w:separator/>
      </w:r>
    </w:p>
  </w:endnote>
  <w:endnote w:type="continuationSeparator" w:id="0">
    <w:p w14:paraId="6C2FC9F0" w14:textId="77777777" w:rsidR="002557EC" w:rsidRDefault="002557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C35E3D" w14:textId="77777777" w:rsidR="00E022D6" w:rsidRDefault="00412C4D">
    <w:pPr>
      <w:pStyle w:val="Stopka"/>
      <w:jc w:val="center"/>
      <w:rPr>
        <w:rStyle w:val="StopkastronyZnak"/>
      </w:rPr>
    </w:pPr>
    <w:r>
      <w:rPr>
        <w:rStyle w:val="StopkastronyZnak"/>
      </w:rPr>
      <w:fldChar w:fldCharType="begin"/>
    </w:r>
    <w:r>
      <w:rPr>
        <w:rStyle w:val="StopkastronyZnak"/>
      </w:rPr>
      <w:instrText>PAGE \* MERGEFORMAT</w:instrText>
    </w:r>
    <w:r>
      <w:rPr>
        <w:rStyle w:val="StopkastronyZnak"/>
      </w:rPr>
      <w:fldChar w:fldCharType="separate"/>
    </w:r>
    <w:r w:rsidR="005B0584">
      <w:rPr>
        <w:rStyle w:val="StopkastronyZnak"/>
        <w:noProof/>
      </w:rPr>
      <w:t>2</w:t>
    </w:r>
    <w:r>
      <w:rPr>
        <w:rStyle w:val="StopkastronyZnak"/>
      </w:rPr>
      <w:fldChar w:fldCharType="end"/>
    </w:r>
    <w:r>
      <w:rPr>
        <w:rStyle w:val="StopkastronyZnak"/>
      </w:rPr>
      <w:t xml:space="preserve"> / </w:t>
    </w:r>
    <w:r w:rsidR="002557EC">
      <w:rPr>
        <w:rStyle w:val="StopkastronyZnak"/>
        <w:noProof/>
      </w:rPr>
      <w:fldChar w:fldCharType="begin"/>
    </w:r>
    <w:r w:rsidR="002557EC">
      <w:rPr>
        <w:rStyle w:val="StopkastronyZnak"/>
        <w:noProof/>
      </w:rPr>
      <w:instrText xml:space="preserve"> NUMPAGES  \* MERGEFORMAT </w:instrText>
    </w:r>
    <w:r w:rsidR="002557EC">
      <w:rPr>
        <w:rStyle w:val="StopkastronyZnak"/>
        <w:noProof/>
      </w:rPr>
      <w:fldChar w:fldCharType="separate"/>
    </w:r>
    <w:r w:rsidR="005B0584">
      <w:rPr>
        <w:rStyle w:val="StopkastronyZnak"/>
        <w:noProof/>
      </w:rPr>
      <w:t>2</w:t>
    </w:r>
    <w:r w:rsidR="002557EC">
      <w:rPr>
        <w:rStyle w:val="StopkastronyZnak"/>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3E2908" w14:textId="77777777" w:rsidR="00E022D6" w:rsidRDefault="00412C4D">
    <w:pPr>
      <w:pStyle w:val="Stopkainfo"/>
      <w:tabs>
        <w:tab w:val="center" w:pos="4536"/>
        <w:tab w:val="right" w:pos="8931"/>
      </w:tabs>
    </w:pPr>
    <w:r>
      <w:rPr>
        <w:noProof/>
      </w:rPr>
      <w:drawing>
        <wp:anchor distT="0" distB="0" distL="114300" distR="114300" simplePos="0" relativeHeight="251658240" behindDoc="0" locked="0" layoutInCell="0" allowOverlap="1" wp14:anchorId="7C35FB46" wp14:editId="3DF5A54A">
          <wp:simplePos x="0" y="0"/>
          <wp:positionH relativeFrom="column">
            <wp:posOffset>-12065</wp:posOffset>
          </wp:positionH>
          <wp:positionV relativeFrom="paragraph">
            <wp:posOffset>81915</wp:posOffset>
          </wp:positionV>
          <wp:extent cx="5739130" cy="15240"/>
          <wp:effectExtent l="0" t="0" r="0" b="0"/>
          <wp:wrapNone/>
          <wp:docPr id="4"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dpi="0">
                  <a:blip r:embed="rId1"/>
                  <a:srcRect/>
                  <a:stretch>
                    <a:fillRect/>
                  </a:stretch>
                </pic:blipFill>
                <pic:spPr>
                  <a:xfrm>
                    <a:off x="0" y="0"/>
                    <a:ext cx="5739130" cy="15240"/>
                  </a:xfrm>
                  <a:prstGeom prst="rect">
                    <a:avLst/>
                  </a:prstGeom>
                </pic:spPr>
              </pic:pic>
            </a:graphicData>
          </a:graphic>
        </wp:anchor>
      </w:drawing>
    </w:r>
  </w:p>
  <w:tbl>
    <w:tblPr>
      <w:tblStyle w:val="Tabela-Prosty1"/>
      <w:tblW w:w="0" w:type="auto"/>
      <w:tblBorders>
        <w:top w:val="none" w:sz="0" w:space="0" w:color="000000"/>
        <w:left w:val="none" w:sz="0" w:space="0" w:color="000000"/>
        <w:bottom w:val="none" w:sz="0" w:space="0" w:color="000000"/>
        <w:right w:val="none" w:sz="0" w:space="0" w:color="000000"/>
      </w:tblBorders>
      <w:tblLook w:val="04A0" w:firstRow="1" w:lastRow="0" w:firstColumn="1" w:lastColumn="0" w:noHBand="0" w:noVBand="1"/>
    </w:tblPr>
    <w:tblGrid>
      <w:gridCol w:w="3058"/>
      <w:gridCol w:w="3058"/>
      <w:gridCol w:w="3058"/>
    </w:tblGrid>
    <w:tr w:rsidR="00E022D6" w14:paraId="53573D41" w14:textId="77777777">
      <w:tc>
        <w:tcPr>
          <w:tcW w:w="3059" w:type="dxa"/>
          <w:tcBorders>
            <w:top w:val="nil"/>
            <w:left w:val="nil"/>
            <w:bottom w:val="nil"/>
            <w:right w:val="nil"/>
          </w:tcBorders>
          <w:tcMar>
            <w:left w:w="108" w:type="dxa"/>
            <w:right w:w="108" w:type="dxa"/>
          </w:tcMar>
        </w:tcPr>
        <w:p w14:paraId="6DB90FB7" w14:textId="77777777" w:rsidR="00E022D6" w:rsidRDefault="00412C4D">
          <w:pPr>
            <w:pStyle w:val="Stopkainfo"/>
            <w:tabs>
              <w:tab w:val="center" w:pos="4536"/>
              <w:tab w:val="right" w:pos="8931"/>
            </w:tabs>
          </w:pPr>
          <w:r>
            <w:t>ul. Browarna 12</w:t>
          </w:r>
        </w:p>
      </w:tc>
      <w:tc>
        <w:tcPr>
          <w:tcW w:w="3059" w:type="dxa"/>
          <w:tcBorders>
            <w:top w:val="nil"/>
            <w:left w:val="nil"/>
            <w:bottom w:val="nil"/>
            <w:right w:val="nil"/>
          </w:tcBorders>
          <w:tcMar>
            <w:left w:w="108" w:type="dxa"/>
            <w:right w:w="108" w:type="dxa"/>
          </w:tcMar>
        </w:tcPr>
        <w:p w14:paraId="6F9CCA53" w14:textId="77777777" w:rsidR="00E022D6" w:rsidRDefault="00412C4D">
          <w:pPr>
            <w:pStyle w:val="Stopkainfo"/>
            <w:tabs>
              <w:tab w:val="center" w:pos="4536"/>
              <w:tab w:val="right" w:pos="8931"/>
            </w:tabs>
            <w:jc w:val="center"/>
          </w:pPr>
          <w:r>
            <w:t>www.zus.pl</w:t>
          </w:r>
        </w:p>
      </w:tc>
      <w:tc>
        <w:tcPr>
          <w:tcW w:w="3059" w:type="dxa"/>
          <w:tcBorders>
            <w:top w:val="nil"/>
            <w:left w:val="nil"/>
            <w:bottom w:val="nil"/>
            <w:right w:val="nil"/>
          </w:tcBorders>
          <w:tcMar>
            <w:left w:w="108" w:type="dxa"/>
            <w:right w:w="108" w:type="dxa"/>
          </w:tcMar>
        </w:tcPr>
        <w:p w14:paraId="6D0AD340" w14:textId="77777777" w:rsidR="00E022D6" w:rsidRDefault="00412C4D">
          <w:pPr>
            <w:pStyle w:val="Stopkainfo"/>
            <w:tabs>
              <w:tab w:val="center" w:pos="4536"/>
              <w:tab w:val="right" w:pos="8931"/>
            </w:tabs>
            <w:jc w:val="right"/>
          </w:pPr>
          <w:r>
            <w:t>Centrum Kontaktu Klientów ZUS</w:t>
          </w:r>
        </w:p>
      </w:tc>
    </w:tr>
    <w:tr w:rsidR="00E022D6" w14:paraId="466DD1B3" w14:textId="77777777">
      <w:tc>
        <w:tcPr>
          <w:tcW w:w="3059" w:type="dxa"/>
          <w:tcBorders>
            <w:top w:val="nil"/>
            <w:left w:val="nil"/>
            <w:bottom w:val="nil"/>
            <w:right w:val="nil"/>
          </w:tcBorders>
          <w:tcMar>
            <w:left w:w="108" w:type="dxa"/>
            <w:right w:w="108" w:type="dxa"/>
          </w:tcMar>
        </w:tcPr>
        <w:p w14:paraId="54D5BBF5" w14:textId="77777777" w:rsidR="00E022D6" w:rsidRDefault="00412C4D">
          <w:pPr>
            <w:pStyle w:val="Stopkainfo"/>
            <w:tabs>
              <w:tab w:val="center" w:pos="4536"/>
              <w:tab w:val="right" w:pos="8931"/>
            </w:tabs>
          </w:pPr>
          <w:r>
            <w:t>08-110 Siedlce</w:t>
          </w:r>
        </w:p>
      </w:tc>
      <w:tc>
        <w:tcPr>
          <w:tcW w:w="3059" w:type="dxa"/>
          <w:tcBorders>
            <w:top w:val="nil"/>
            <w:left w:val="nil"/>
            <w:bottom w:val="nil"/>
            <w:right w:val="nil"/>
          </w:tcBorders>
          <w:tcMar>
            <w:left w:w="108" w:type="dxa"/>
            <w:right w:w="108" w:type="dxa"/>
          </w:tcMar>
        </w:tcPr>
        <w:p w14:paraId="26987B93" w14:textId="77777777" w:rsidR="00E022D6" w:rsidRDefault="00412C4D">
          <w:pPr>
            <w:pStyle w:val="Stopkainfo"/>
            <w:tabs>
              <w:tab w:val="center" w:pos="4536"/>
              <w:tab w:val="right" w:pos="8931"/>
            </w:tabs>
            <w:jc w:val="center"/>
          </w:pPr>
          <w:r>
            <w:t>e-mail: cot@zus.pl</w:t>
          </w:r>
        </w:p>
      </w:tc>
      <w:tc>
        <w:tcPr>
          <w:tcW w:w="3059" w:type="dxa"/>
          <w:tcBorders>
            <w:top w:val="nil"/>
            <w:left w:val="nil"/>
            <w:bottom w:val="nil"/>
            <w:right w:val="nil"/>
          </w:tcBorders>
          <w:tcMar>
            <w:left w:w="108" w:type="dxa"/>
            <w:right w:w="108" w:type="dxa"/>
          </w:tcMar>
        </w:tcPr>
        <w:p w14:paraId="42C97A83" w14:textId="77777777" w:rsidR="00E022D6" w:rsidRDefault="00412C4D">
          <w:pPr>
            <w:pStyle w:val="Stopkainfo"/>
            <w:tabs>
              <w:tab w:val="center" w:pos="4536"/>
              <w:tab w:val="right" w:pos="8931"/>
            </w:tabs>
            <w:jc w:val="right"/>
          </w:pPr>
          <w:r>
            <w:t>tel. 22 560 16 00</w:t>
          </w:r>
        </w:p>
      </w:tc>
    </w:tr>
  </w:tbl>
  <w:p w14:paraId="7E129F42" w14:textId="77777777" w:rsidR="00E022D6" w:rsidRDefault="00E022D6">
    <w:pPr>
      <w:pStyle w:val="Stopkainfo"/>
      <w:tabs>
        <w:tab w:val="center" w:pos="4536"/>
        <w:tab w:val="right" w:pos="8931"/>
      </w:tabs>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056F5D" w14:textId="77777777" w:rsidR="002557EC" w:rsidRDefault="002557EC">
      <w:pPr>
        <w:spacing w:before="0" w:after="0"/>
      </w:pPr>
      <w:r>
        <w:separator/>
      </w:r>
    </w:p>
  </w:footnote>
  <w:footnote w:type="continuationSeparator" w:id="0">
    <w:p w14:paraId="3A072DA7" w14:textId="77777777" w:rsidR="002557EC" w:rsidRDefault="002557EC">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A07C39"/>
    <w:multiLevelType w:val="hybridMultilevel"/>
    <w:tmpl w:val="E0166F1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381C4F9D"/>
    <w:multiLevelType w:val="hybridMultilevel"/>
    <w:tmpl w:val="E206C4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39356243"/>
    <w:multiLevelType w:val="hybridMultilevel"/>
    <w:tmpl w:val="CBF877B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4A9A33C8"/>
    <w:multiLevelType w:val="hybridMultilevel"/>
    <w:tmpl w:val="65B41CF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55402DF3"/>
    <w:multiLevelType w:val="hybridMultilevel"/>
    <w:tmpl w:val="0D04C8F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64C0617A"/>
    <w:multiLevelType w:val="hybridMultilevel"/>
    <w:tmpl w:val="BA5A81B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69570975"/>
    <w:multiLevelType w:val="hybridMultilevel"/>
    <w:tmpl w:val="1A6E600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6C0C44DD"/>
    <w:multiLevelType w:val="hybridMultilevel"/>
    <w:tmpl w:val="4F44753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4"/>
  </w:num>
  <w:num w:numId="2">
    <w:abstractNumId w:val="1"/>
  </w:num>
  <w:num w:numId="3">
    <w:abstractNumId w:val="7"/>
  </w:num>
  <w:num w:numId="4">
    <w:abstractNumId w:val="2"/>
  </w:num>
  <w:num w:numId="5">
    <w:abstractNumId w:val="6"/>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9"/>
  <w:hyphenationZone w:val="425"/>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2D6"/>
    <w:rsid w:val="00026849"/>
    <w:rsid w:val="000C7379"/>
    <w:rsid w:val="000D66D6"/>
    <w:rsid w:val="00146559"/>
    <w:rsid w:val="002557EC"/>
    <w:rsid w:val="00412C4D"/>
    <w:rsid w:val="005B0584"/>
    <w:rsid w:val="005F0EFE"/>
    <w:rsid w:val="006D774F"/>
    <w:rsid w:val="00714F82"/>
    <w:rsid w:val="00762BC6"/>
    <w:rsid w:val="0083467C"/>
    <w:rsid w:val="00880D3F"/>
    <w:rsid w:val="009770FA"/>
    <w:rsid w:val="00983B10"/>
    <w:rsid w:val="009A58C4"/>
    <w:rsid w:val="00A43D9B"/>
    <w:rsid w:val="00AB124A"/>
    <w:rsid w:val="00C329F7"/>
    <w:rsid w:val="00C36A5B"/>
    <w:rsid w:val="00C62E79"/>
    <w:rsid w:val="00C8099F"/>
    <w:rsid w:val="00CD6DE4"/>
    <w:rsid w:val="00D755A5"/>
    <w:rsid w:val="00DF3B58"/>
    <w:rsid w:val="00E022D6"/>
    <w:rsid w:val="00E07679"/>
    <w:rsid w:val="00E56E5A"/>
    <w:rsid w:val="00F123FC"/>
    <w:rsid w:val="00F67304"/>
    <w:rsid w:val="00FE7E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908A8"/>
  <w15:docId w15:val="{D79F41D6-AE30-4ADA-B07B-407E942EC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pPr>
      <w:spacing w:before="100" w:beforeAutospacing="1" w:after="100" w:afterAutospacing="1" w:line="240" w:lineRule="auto"/>
      <w:jc w:val="both"/>
    </w:pPr>
    <w:rPr>
      <w:rFonts w:ascii="Calibri" w:hAnsi="Calibri"/>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pPr>
      <w:tabs>
        <w:tab w:val="center" w:pos="4536"/>
        <w:tab w:val="right" w:pos="9072"/>
      </w:tabs>
      <w:spacing w:beforeAutospacing="0" w:after="0" w:afterAutospacing="0"/>
    </w:pPr>
  </w:style>
  <w:style w:type="paragraph" w:customStyle="1" w:styleId="Stopkainfo">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
    <w:name w:val="Jednostka"/>
    <w:basedOn w:val="Normalny"/>
    <w:pPr>
      <w:spacing w:before="0" w:beforeAutospacing="0" w:after="0" w:afterAutospacing="0"/>
      <w:jc w:val="left"/>
    </w:pPr>
    <w:rPr>
      <w:color w:val="003D6E"/>
      <w:sz w:val="20"/>
    </w:rPr>
  </w:style>
  <w:style w:type="character" w:styleId="Numerwiersza">
    <w:name w:val="line number"/>
    <w:basedOn w:val="Domylnaczcionkaakapitu"/>
    <w:semiHidden/>
  </w:style>
  <w:style w:type="character" w:styleId="Hipercze">
    <w:name w:val="Hyperlink"/>
    <w:rPr>
      <w:color w:val="0000FF"/>
      <w:u w:val="single"/>
    </w:rPr>
  </w:style>
  <w:style w:type="character" w:customStyle="1" w:styleId="StopkaZnak">
    <w:name w:val="Stopka Znak"/>
    <w:basedOn w:val="Domylnaczcionkaakapitu"/>
    <w:rPr>
      <w:rFonts w:ascii="Times New Roman" w:eastAsia="Times New Roman" w:hAnsi="Times New Roman" w:cs="Times New Roman"/>
      <w:color w:val="000000"/>
    </w:rPr>
  </w:style>
  <w:style w:type="character" w:customStyle="1" w:styleId="StopkastronyZnak">
    <w:name w:val="Stopka strony Znak"/>
    <w:basedOn w:val="StopkaZnak"/>
    <w:rPr>
      <w:rFonts w:ascii="Times New Roman" w:eastAsia="Times New Roman" w:hAnsi="Times New Roman" w:cs="Times New Roman"/>
      <w:color w:val="003D6E"/>
      <w:sz w:val="20"/>
    </w:rPr>
  </w:style>
  <w:style w:type="table" w:styleId="Tabela-Prosty1">
    <w:name w:val="Table Simple 1"/>
    <w:basedOn w:val="Standardowy"/>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opkainfo0">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0">
    <w:name w:val="Jednostka"/>
    <w:basedOn w:val="Normalny"/>
    <w:pPr>
      <w:spacing w:before="0" w:beforeAutospacing="0" w:after="0" w:afterAutospacing="0"/>
      <w:jc w:val="left"/>
    </w:pPr>
    <w:rPr>
      <w:color w:val="003D6E"/>
      <w:sz w:val="20"/>
    </w:rPr>
  </w:style>
  <w:style w:type="character" w:customStyle="1" w:styleId="StopkaZnak0">
    <w:name w:val="Stopka Znak"/>
    <w:basedOn w:val="Domylnaczcionkaakapitu"/>
    <w:rPr>
      <w:rFonts w:ascii="Times New Roman" w:eastAsia="Times New Roman" w:hAnsi="Times New Roman" w:cs="Times New Roman"/>
      <w:color w:val="000000"/>
    </w:rPr>
  </w:style>
  <w:style w:type="character" w:customStyle="1" w:styleId="StopkastronyZnak0">
    <w:name w:val="Stopka strony Znak"/>
    <w:basedOn w:val="StopkaZnak0"/>
    <w:rPr>
      <w:rFonts w:ascii="Times New Roman" w:eastAsia="Times New Roman" w:hAnsi="Times New Roman" w:cs="Times New Roman"/>
      <w:color w:val="003D6E"/>
      <w:sz w:val="20"/>
    </w:rPr>
  </w:style>
  <w:style w:type="paragraph" w:customStyle="1" w:styleId="Stopkainfo1">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1">
    <w:name w:val="Jednostka"/>
    <w:basedOn w:val="Normalny"/>
    <w:pPr>
      <w:spacing w:before="0" w:beforeAutospacing="0" w:after="0" w:afterAutospacing="0"/>
      <w:jc w:val="left"/>
    </w:pPr>
    <w:rPr>
      <w:color w:val="003D6E"/>
      <w:sz w:val="20"/>
    </w:rPr>
  </w:style>
  <w:style w:type="character" w:customStyle="1" w:styleId="StopkaZnak1">
    <w:name w:val="Stopka Znak"/>
    <w:basedOn w:val="Domylnaczcionkaakapitu"/>
    <w:rPr>
      <w:rFonts w:ascii="Times New Roman" w:eastAsia="Times New Roman" w:hAnsi="Times New Roman" w:cs="Times New Roman"/>
      <w:color w:val="000000"/>
    </w:rPr>
  </w:style>
  <w:style w:type="character" w:customStyle="1" w:styleId="StopkastronyZnak1">
    <w:name w:val="Stopka strony Znak"/>
    <w:basedOn w:val="StopkaZnak1"/>
    <w:rPr>
      <w:rFonts w:ascii="Times New Roman" w:eastAsia="Times New Roman" w:hAnsi="Times New Roman" w:cs="Times New Roman"/>
      <w:color w:val="003D6E"/>
      <w:sz w:val="20"/>
    </w:rPr>
  </w:style>
  <w:style w:type="paragraph" w:customStyle="1" w:styleId="Stopkainfo2">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2">
    <w:name w:val="Jednostka"/>
    <w:basedOn w:val="Normalny"/>
    <w:pPr>
      <w:spacing w:before="0" w:beforeAutospacing="0" w:after="0" w:afterAutospacing="0"/>
      <w:jc w:val="left"/>
    </w:pPr>
    <w:rPr>
      <w:color w:val="003D6E"/>
      <w:sz w:val="20"/>
    </w:rPr>
  </w:style>
  <w:style w:type="character" w:customStyle="1" w:styleId="StopkaZnak2">
    <w:name w:val="Stopka Znak"/>
    <w:basedOn w:val="Domylnaczcionkaakapitu"/>
    <w:rPr>
      <w:rFonts w:ascii="Times New Roman" w:eastAsia="Times New Roman" w:hAnsi="Times New Roman" w:cs="Times New Roman"/>
      <w:color w:val="000000"/>
    </w:rPr>
  </w:style>
  <w:style w:type="character" w:customStyle="1" w:styleId="StopkastronyZnak2">
    <w:name w:val="Stopka strony Znak"/>
    <w:basedOn w:val="StopkaZnak2"/>
    <w:rPr>
      <w:rFonts w:ascii="Times New Roman" w:eastAsia="Times New Roman" w:hAnsi="Times New Roman" w:cs="Times New Roman"/>
      <w:color w:val="003D6E"/>
      <w:sz w:val="20"/>
    </w:rPr>
  </w:style>
  <w:style w:type="paragraph" w:customStyle="1" w:styleId="Stopkainfo3">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3">
    <w:name w:val="Jednostka"/>
    <w:basedOn w:val="Normalny"/>
    <w:pPr>
      <w:spacing w:before="0" w:beforeAutospacing="0" w:after="0" w:afterAutospacing="0"/>
      <w:jc w:val="left"/>
    </w:pPr>
    <w:rPr>
      <w:color w:val="003D6E"/>
      <w:sz w:val="20"/>
    </w:rPr>
  </w:style>
  <w:style w:type="character" w:customStyle="1" w:styleId="StopkaZnak3">
    <w:name w:val="Stopka Znak"/>
    <w:basedOn w:val="Domylnaczcionkaakapitu"/>
    <w:rPr>
      <w:rFonts w:ascii="Times New Roman" w:eastAsia="Times New Roman" w:hAnsi="Times New Roman" w:cs="Times New Roman"/>
      <w:color w:val="000000"/>
    </w:rPr>
  </w:style>
  <w:style w:type="character" w:customStyle="1" w:styleId="StopkastronyZnak3">
    <w:name w:val="Stopka strony Znak"/>
    <w:basedOn w:val="StopkaZnak3"/>
    <w:rPr>
      <w:rFonts w:ascii="Times New Roman" w:eastAsia="Times New Roman" w:hAnsi="Times New Roman" w:cs="Times New Roman"/>
      <w:color w:val="003D6E"/>
      <w:sz w:val="20"/>
    </w:rPr>
  </w:style>
  <w:style w:type="paragraph" w:customStyle="1" w:styleId="Stopkainfo4">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4">
    <w:name w:val="Jednostka"/>
    <w:basedOn w:val="Normalny"/>
    <w:pPr>
      <w:spacing w:before="0" w:beforeAutospacing="0" w:after="0" w:afterAutospacing="0"/>
      <w:jc w:val="left"/>
    </w:pPr>
    <w:rPr>
      <w:color w:val="003D6E"/>
      <w:sz w:val="20"/>
    </w:rPr>
  </w:style>
  <w:style w:type="character" w:customStyle="1" w:styleId="StopkaZnak4">
    <w:name w:val="Stopka Znak"/>
    <w:basedOn w:val="Domylnaczcionkaakapitu"/>
    <w:rPr>
      <w:rFonts w:ascii="Times New Roman" w:eastAsia="Times New Roman" w:hAnsi="Times New Roman" w:cs="Times New Roman"/>
      <w:color w:val="000000"/>
    </w:rPr>
  </w:style>
  <w:style w:type="character" w:customStyle="1" w:styleId="StopkastronyZnak4">
    <w:name w:val="Stopka strony Znak"/>
    <w:basedOn w:val="StopkaZnak4"/>
    <w:rPr>
      <w:rFonts w:ascii="Times New Roman" w:eastAsia="Times New Roman" w:hAnsi="Times New Roman" w:cs="Times New Roman"/>
      <w:color w:val="003D6E"/>
      <w:sz w:val="20"/>
    </w:rPr>
  </w:style>
  <w:style w:type="paragraph" w:customStyle="1" w:styleId="Stopkainfo5">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5">
    <w:name w:val="Jednostka"/>
    <w:basedOn w:val="Normalny"/>
    <w:pPr>
      <w:spacing w:before="0" w:beforeAutospacing="0" w:after="0" w:afterAutospacing="0"/>
      <w:jc w:val="left"/>
    </w:pPr>
    <w:rPr>
      <w:color w:val="003D6E"/>
      <w:sz w:val="20"/>
    </w:rPr>
  </w:style>
  <w:style w:type="character" w:customStyle="1" w:styleId="StopkaZnak5">
    <w:name w:val="Stopka Znak"/>
    <w:basedOn w:val="Domylnaczcionkaakapitu"/>
    <w:rPr>
      <w:rFonts w:ascii="Times New Roman" w:eastAsia="Times New Roman" w:hAnsi="Times New Roman" w:cs="Times New Roman"/>
      <w:color w:val="000000"/>
    </w:rPr>
  </w:style>
  <w:style w:type="character" w:customStyle="1" w:styleId="StopkastronyZnak5">
    <w:name w:val="Stopka strony Znak"/>
    <w:basedOn w:val="StopkaZnak5"/>
    <w:rPr>
      <w:rFonts w:ascii="Times New Roman" w:eastAsia="Times New Roman" w:hAnsi="Times New Roman" w:cs="Times New Roman"/>
      <w:color w:val="003D6E"/>
      <w:sz w:val="20"/>
    </w:rPr>
  </w:style>
  <w:style w:type="paragraph" w:customStyle="1" w:styleId="Stopkainfo6">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6">
    <w:name w:val="Jednostka"/>
    <w:basedOn w:val="Normalny"/>
    <w:link w:val="JednostkaZnak"/>
    <w:qFormat/>
    <w:pPr>
      <w:spacing w:before="0" w:beforeAutospacing="0" w:after="0" w:afterAutospacing="0"/>
      <w:jc w:val="left"/>
    </w:pPr>
    <w:rPr>
      <w:color w:val="003D6E"/>
      <w:sz w:val="20"/>
    </w:rPr>
  </w:style>
  <w:style w:type="character" w:customStyle="1" w:styleId="StopkaZnak6">
    <w:name w:val="Stopka Znak"/>
    <w:basedOn w:val="Domylnaczcionkaakapitu"/>
    <w:rPr>
      <w:rFonts w:ascii="Times New Roman" w:eastAsia="Times New Roman" w:hAnsi="Times New Roman" w:cs="Times New Roman"/>
      <w:color w:val="000000"/>
    </w:rPr>
  </w:style>
  <w:style w:type="character" w:customStyle="1" w:styleId="StopkastronyZnak6">
    <w:name w:val="Stopka strony Znak"/>
    <w:basedOn w:val="StopkaZnak6"/>
    <w:rPr>
      <w:rFonts w:ascii="Times New Roman" w:eastAsia="Times New Roman" w:hAnsi="Times New Roman" w:cs="Times New Roman"/>
      <w:color w:val="003D6E"/>
      <w:sz w:val="20"/>
    </w:rPr>
  </w:style>
  <w:style w:type="character" w:styleId="Odwoaniedokomentarza">
    <w:name w:val="annotation reference"/>
    <w:basedOn w:val="Domylnaczcionkaakapitu"/>
    <w:uiPriority w:val="99"/>
    <w:semiHidden/>
    <w:unhideWhenUsed/>
    <w:rsid w:val="00412C4D"/>
    <w:rPr>
      <w:sz w:val="16"/>
      <w:szCs w:val="16"/>
    </w:rPr>
  </w:style>
  <w:style w:type="paragraph" w:styleId="Tekstkomentarza">
    <w:name w:val="annotation text"/>
    <w:basedOn w:val="Normalny"/>
    <w:link w:val="TekstkomentarzaZnak"/>
    <w:uiPriority w:val="99"/>
    <w:semiHidden/>
    <w:unhideWhenUsed/>
    <w:rsid w:val="00412C4D"/>
    <w:pPr>
      <w:spacing w:before="0" w:beforeAutospacing="0" w:after="0" w:afterAutospacing="0"/>
      <w:jc w:val="left"/>
    </w:pPr>
    <w:rPr>
      <w:rFonts w:eastAsiaTheme="minorHAnsi"/>
      <w:color w:val="auto"/>
      <w:sz w:val="20"/>
      <w:szCs w:val="20"/>
      <w:lang w:eastAsia="en-US"/>
    </w:rPr>
  </w:style>
  <w:style w:type="character" w:customStyle="1" w:styleId="TekstkomentarzaZnak">
    <w:name w:val="Tekst komentarza Znak"/>
    <w:basedOn w:val="Domylnaczcionkaakapitu"/>
    <w:link w:val="Tekstkomentarza"/>
    <w:uiPriority w:val="99"/>
    <w:semiHidden/>
    <w:rsid w:val="00412C4D"/>
    <w:rPr>
      <w:rFonts w:ascii="Calibri" w:eastAsiaTheme="minorHAnsi" w:hAnsi="Calibri"/>
      <w:color w:val="auto"/>
      <w:sz w:val="20"/>
      <w:szCs w:val="20"/>
      <w:lang w:eastAsia="en-US"/>
    </w:rPr>
  </w:style>
  <w:style w:type="paragraph" w:styleId="Akapitzlist">
    <w:name w:val="List Paragraph"/>
    <w:basedOn w:val="Normalny"/>
    <w:uiPriority w:val="34"/>
    <w:qFormat/>
    <w:rsid w:val="00412C4D"/>
    <w:pPr>
      <w:spacing w:before="0" w:beforeAutospacing="0" w:after="0" w:afterAutospacing="0"/>
      <w:ind w:left="720"/>
      <w:contextualSpacing/>
      <w:jc w:val="left"/>
    </w:pPr>
    <w:rPr>
      <w:rFonts w:eastAsiaTheme="minorHAnsi"/>
      <w:color w:val="auto"/>
      <w:sz w:val="22"/>
      <w:lang w:eastAsia="en-US"/>
    </w:rPr>
  </w:style>
  <w:style w:type="paragraph" w:styleId="Tekstdymka">
    <w:name w:val="Balloon Text"/>
    <w:basedOn w:val="Normalny"/>
    <w:link w:val="TekstdymkaZnak"/>
    <w:uiPriority w:val="99"/>
    <w:semiHidden/>
    <w:unhideWhenUsed/>
    <w:rsid w:val="00412C4D"/>
    <w:pPr>
      <w:spacing w:before="0" w:after="0"/>
    </w:pPr>
    <w:rPr>
      <w:rFonts w:ascii="Tahoma" w:hAnsi="Tahoma" w:cs="Tahoma"/>
      <w:sz w:val="16"/>
      <w:szCs w:val="16"/>
    </w:rPr>
  </w:style>
  <w:style w:type="character" w:customStyle="1" w:styleId="TekstdymkaZnak">
    <w:name w:val="Tekst dymka Znak"/>
    <w:basedOn w:val="Domylnaczcionkaakapitu"/>
    <w:link w:val="Tekstdymka"/>
    <w:uiPriority w:val="99"/>
    <w:semiHidden/>
    <w:rsid w:val="00412C4D"/>
    <w:rPr>
      <w:rFonts w:ascii="Tahoma" w:hAnsi="Tahoma" w:cs="Tahoma"/>
      <w:sz w:val="16"/>
      <w:szCs w:val="16"/>
    </w:rPr>
  </w:style>
  <w:style w:type="character" w:styleId="UyteHipercze">
    <w:name w:val="FollowedHyperlink"/>
    <w:basedOn w:val="Domylnaczcionkaakapitu"/>
    <w:uiPriority w:val="99"/>
    <w:semiHidden/>
    <w:unhideWhenUsed/>
    <w:rsid w:val="00412C4D"/>
    <w:rPr>
      <w:color w:val="800080" w:themeColor="followedHyperlink"/>
      <w:u w:val="single"/>
    </w:rPr>
  </w:style>
  <w:style w:type="paragraph" w:styleId="Tematkomentarza">
    <w:name w:val="annotation subject"/>
    <w:basedOn w:val="Tekstkomentarza"/>
    <w:next w:val="Tekstkomentarza"/>
    <w:link w:val="TematkomentarzaZnak"/>
    <w:uiPriority w:val="99"/>
    <w:semiHidden/>
    <w:unhideWhenUsed/>
    <w:rsid w:val="009770FA"/>
    <w:pPr>
      <w:spacing w:before="100" w:beforeAutospacing="1" w:after="100" w:afterAutospacing="1"/>
      <w:jc w:val="both"/>
    </w:pPr>
    <w:rPr>
      <w:rFonts w:eastAsia="Times New Roman"/>
      <w:b/>
      <w:bCs/>
      <w:color w:val="000000"/>
      <w:lang w:eastAsia="pl-PL"/>
    </w:rPr>
  </w:style>
  <w:style w:type="character" w:customStyle="1" w:styleId="TematkomentarzaZnak">
    <w:name w:val="Temat komentarza Znak"/>
    <w:basedOn w:val="TekstkomentarzaZnak"/>
    <w:link w:val="Tematkomentarza"/>
    <w:uiPriority w:val="99"/>
    <w:semiHidden/>
    <w:rsid w:val="009770FA"/>
    <w:rPr>
      <w:rFonts w:ascii="Calibri" w:eastAsiaTheme="minorHAnsi" w:hAnsi="Calibri"/>
      <w:b/>
      <w:bCs/>
      <w:color w:val="auto"/>
      <w:sz w:val="20"/>
      <w:szCs w:val="20"/>
      <w:lang w:eastAsia="en-US"/>
    </w:rPr>
  </w:style>
  <w:style w:type="character" w:customStyle="1" w:styleId="JednostkaZnak">
    <w:name w:val="Jednostka Znak"/>
    <w:basedOn w:val="Domylnaczcionkaakapitu"/>
    <w:link w:val="Jednostka6"/>
    <w:rsid w:val="00983B10"/>
    <w:rPr>
      <w:rFonts w:ascii="Calibri" w:hAnsi="Calibri"/>
      <w:color w:val="003D6E"/>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14326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zus.pl/-/wyp%C5%82ata-%C5%9Bwiadcze%C5%84-%C5%82%C4%85cznie-z-rent%C4%85-rodzinn%C4%85-czyli-tzw.-renta-wdowia?redirect=%2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3081</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ZUS</Company>
  <LinksUpToDate>false</LinksUpToDate>
  <CharactersWithSpaces>3587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Drzewowska, Agnieszka</dc:creator>
  <cp:lastModifiedBy>Karolina Ołtarzewska</cp:lastModifiedBy>
  <cp:revision>2</cp:revision>
  <dcterms:created xsi:type="dcterms:W3CDTF">2024-11-26T13:53:00Z</dcterms:created>
  <dcterms:modified xsi:type="dcterms:W3CDTF">2024-11-26T13:53:00Z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M_skip_classification_GUID">
    <vt:lpwstr>647ad320-593c-43b0-b132-892a384bcbc2</vt:lpwstr>
  </property>
</Properties>
</file>