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233E1">
        <w:rPr>
          <w:rFonts w:ascii="Arial" w:hAnsi="Arial" w:cs="Arial"/>
          <w:b/>
          <w:bCs/>
          <w:sz w:val="24"/>
          <w:szCs w:val="24"/>
        </w:rPr>
        <w:t>Załącznik nr 3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233E1">
        <w:rPr>
          <w:rFonts w:ascii="Arial" w:hAnsi="Arial" w:cs="Arial"/>
          <w:b/>
          <w:bCs/>
          <w:sz w:val="24"/>
          <w:szCs w:val="24"/>
        </w:rPr>
        <w:t>Do projektu uchwały Wieloletniej Prognozy Finansowej na lata 2016 - 2020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33E1">
        <w:rPr>
          <w:rFonts w:ascii="Arial" w:hAnsi="Arial" w:cs="Arial"/>
          <w:b/>
          <w:bCs/>
          <w:sz w:val="24"/>
          <w:szCs w:val="24"/>
        </w:rPr>
        <w:t>Objaśnienia do projektu uchwały Wieloletniej Prognozy Finansowej Gminy Skąpe na lata 2016 - 2020.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Wieloletnia prognoza finansowa Gminy Skąpe została przygotowana na lata 2016 - 2020. Długość okresu objętego prognozą wynika z art. 227 ustawy z dnia 27 sierpnia 2009 roku o finansach publicznych (Dz. U. z 2013 r., poz. 885 z </w:t>
      </w:r>
      <w:proofErr w:type="spellStart"/>
      <w:r w:rsidRPr="008233E1">
        <w:rPr>
          <w:rFonts w:ascii="Arial" w:hAnsi="Arial" w:cs="Arial"/>
          <w:sz w:val="24"/>
          <w:szCs w:val="24"/>
        </w:rPr>
        <w:t>późn</w:t>
      </w:r>
      <w:proofErr w:type="spellEnd"/>
      <w:r w:rsidRPr="008233E1">
        <w:rPr>
          <w:rFonts w:ascii="Arial" w:hAnsi="Arial" w:cs="Arial"/>
          <w:sz w:val="24"/>
          <w:szCs w:val="24"/>
        </w:rPr>
        <w:t xml:space="preserve">. zm.). Z brzmienia przepisu wynika, że prognoza finansowa obejmuje okres roku budżetowego oraz co najmniej trzech kolejnych lat a prognozę długu sporządza się na okres na który zaciągnięto oraz planuje się zaciągnąć zobowiązania - w przypadku gminy Skąpe do 2020r.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Odległy czas prognozowania zwiększa ryzyko niewłaściwego oszacowania wartości przyjętych w prognozie w odniesieniu do faktycznie uzyskanych.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Opracowując prognozę finansową dla Gminy Skąpe na lata 2016 – 2020 kierowano się zarówno obecną sytuacja finansową kraju, jaki i sytuacją ekonomiczną oraz rozwojem gospodarczym Gminy Skąpe.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Prognozując dochody ogółem dokonano podziału na dochody bieżące i dochody majątkowe.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Do prognozowanych dochodów bieżących Gminy zalicza się: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1. Podatki i opłaty lokalne,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2. Udziały w podatkach centralnych budżetu państwa (udział w podatku dochodowym od osób fizycznych - PIT, oraz udziały w podatku dochodowym od osób prawnych - CIT),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3. Subwencje z budżetu państwa (oświatowa, wyrównawcza),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4. Dotacje (na zadania zlecone, powierzone i własne),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5. Pozostałe dochody bieżące (m.in. wpływy z usług, najmu, dzierżawy, opłata </w:t>
      </w:r>
      <w:proofErr w:type="spellStart"/>
      <w:r w:rsidRPr="008233E1">
        <w:rPr>
          <w:rFonts w:ascii="Arial" w:hAnsi="Arial" w:cs="Arial"/>
          <w:sz w:val="24"/>
          <w:szCs w:val="24"/>
        </w:rPr>
        <w:t>zasprzedaż</w:t>
      </w:r>
      <w:proofErr w:type="spellEnd"/>
      <w:r w:rsidRPr="008233E1">
        <w:rPr>
          <w:rFonts w:ascii="Arial" w:hAnsi="Arial" w:cs="Arial"/>
          <w:sz w:val="24"/>
          <w:szCs w:val="24"/>
        </w:rPr>
        <w:t xml:space="preserve"> wody i odprowadzenie ścieków).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Do prognozowanych dochodów majątkowych Gminy zalicza się: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1. dochody z majątku (w tym m.in. sprzedaż mienia oraz przekształcenie prawa użytkowania wieczystego w prawo własności), zostały opracowane na podstawie planu sprzedaży działek w miejscowości Niesulice oraz Międzylesie,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2. dotacje na inwestycje (w tym m.in. środki z budżetu państwa i środki unii europejskiej).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Szacując dochody własne gminy oparto się na indeksie wzrostu cen towarów, w związku z powyższym szacuje się w podanym okresie stały wzrost dochodów własnych gminy. W latach 2016 – 2020 założono poziom wzrostu indeksu (około 2%</w:t>
      </w:r>
      <w:r w:rsidRPr="008233E1">
        <w:rPr>
          <w:rFonts w:ascii="Arial" w:hAnsi="Arial" w:cs="Arial"/>
          <w:color w:val="FF0000"/>
          <w:sz w:val="24"/>
          <w:szCs w:val="24"/>
        </w:rPr>
        <w:t xml:space="preserve"> </w:t>
      </w:r>
      <w:r w:rsidRPr="008233E1">
        <w:rPr>
          <w:rFonts w:ascii="Arial" w:hAnsi="Arial" w:cs="Arial"/>
          <w:sz w:val="24"/>
          <w:szCs w:val="24"/>
        </w:rPr>
        <w:t>rocznie). W kolejnych latach przewiduje się znaczny wzrost dochodów z opłaty eksploatacyjnej oraz jednoczesnym wzroście dochodów własnych przewiduje się systematyczny spadek  dochodów ze sprzedaży składników majątkowych.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Podobnie jak dochody, przy prognozowaniu, wydatki również podzielono na kategorie wydatków bieżących i wydatków majątkowych. Wydatki bieżące dodatkowo podzielone </w:t>
      </w:r>
      <w:r w:rsidRPr="008233E1">
        <w:rPr>
          <w:rFonts w:ascii="Arial" w:hAnsi="Arial" w:cs="Arial"/>
          <w:sz w:val="24"/>
          <w:szCs w:val="24"/>
        </w:rPr>
        <w:lastRenderedPageBreak/>
        <w:t xml:space="preserve">zostały na związane z wynagrodzeniami i ich pochodnymi oraz z funkcjonowaniem JST. Ponadto wyodrębniono wydatki na obsługę zadłużenia.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Zgodnie z art. 242 ustawy - organ stanowiący nie może uchwalić budżetu, w którym wydatki bieżące są wyższe od dochodów bieżących powiększonych o nadwyżkę z lat ubiegłych i wolne środki. Zgodnie z prognozą od roku 2016 nie ma zagrożenia naruszenia tego przepisu.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Zadłużenie gminy na koniec 2015 roku wyniesie: 3.699.997,55 zł na co składają się zakładane wykupy obligacji wyemitowanych przez Bank Polska SA w roku 2015 na kwotę 600.000,00 zł. Ponadto do końca roku 2015 Gmina Skąpe planuje skorzystać z emisji obligacji w kwocie 1.000.000,00 zł zgodnie z uchwałą nr IX/89/2015 Rady Gminy Skąpe z dnia 18 września 2015r.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Wobec powyższego w wyniku założonych spłat planowane zadłużenie gminy na koniec 2016 roku wyniesie: 2.899.997,55 zł.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Planowane nadwyżki budżetowe w latach 2016 – 2020 są przeznaczane na spłatę zobowiązań z tytułu wykupu papierów wartościowych.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Na rozchody budżetu w latach 2016 – 2020 składają się zobowiązania z tytułu emisji papierów wartościowych /obligacji komunalnych zgodnie z umowami/.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>Zgodnie z art. 243 ustawy o finansach publicznych określono maksymalne wartości wskaźnika limitu długu na lata 2016 – 2020. Ponadto zawarto informację o spełnieniu kształtowania się wskaźnika limitu długu w stosunku do zaplanowanych spłat zobowiązań z tytułu kredytów i obligacji oraz odsetek.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233E1">
        <w:rPr>
          <w:rFonts w:ascii="Arial" w:hAnsi="Arial" w:cs="Arial"/>
          <w:sz w:val="24"/>
          <w:szCs w:val="24"/>
        </w:rPr>
        <w:t xml:space="preserve">Po dokonaniu obliczeń, przyjęte w prognozie założenia zapewniają spełnienie wymogów ustawy o finansach publicznych odnośnie relacji obsługi zadłużenia. Wskaźnik spłaty zobowiązań kredytowych na lata 2016 - 2020 według przepisów ustawy o finansach publicznych kształtuje się na poziomie spełniającymi zapisy ww. ustawy. </w:t>
      </w: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233E1" w:rsidRPr="008233E1" w:rsidRDefault="008233E1" w:rsidP="008233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3E1" w:rsidRPr="008233E1" w:rsidRDefault="008233E1" w:rsidP="008233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03711" w:rsidRDefault="00803711">
      <w:bookmarkStart w:id="0" w:name="_GoBack"/>
      <w:bookmarkEnd w:id="0"/>
    </w:p>
    <w:sectPr w:rsidR="00803711" w:rsidSect="0028006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E1"/>
    <w:rsid w:val="0067424F"/>
    <w:rsid w:val="00803711"/>
    <w:rsid w:val="008233E1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D3D66-4E9B-45EA-B333-D5CB246B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233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2016-01-05T08:52:00Z</dcterms:created>
  <dcterms:modified xsi:type="dcterms:W3CDTF">2016-01-05T08:53:00Z</dcterms:modified>
</cp:coreProperties>
</file>