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91F71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>Zarządzenie Nr 96/2020</w:t>
      </w:r>
    </w:p>
    <w:p w14:paraId="677825AA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749CF04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>z dnia 11 grudnia 2020 roku</w:t>
      </w:r>
    </w:p>
    <w:p w14:paraId="35978147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475CCF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CC026C7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129C4EE7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18BA6A6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584E0A8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E33B58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E33B58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E33B58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E33B58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E33B58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45AB6945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F2468B" w14:textId="77777777" w:rsidR="00E33B58" w:rsidRPr="00E33B58" w:rsidRDefault="00E33B58" w:rsidP="00E33B5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8893176" w14:textId="77777777" w:rsidR="00E33B58" w:rsidRPr="00E33B58" w:rsidRDefault="00E33B58" w:rsidP="00E33B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3B58">
        <w:rPr>
          <w:rFonts w:ascii="Arial" w:hAnsi="Arial" w:cs="Arial"/>
          <w:b/>
          <w:bCs/>
          <w:sz w:val="20"/>
          <w:szCs w:val="20"/>
        </w:rPr>
        <w:t>§ 1.</w:t>
      </w:r>
      <w:r w:rsidRPr="00E33B58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E33B58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423B7C72" w14:textId="77777777" w:rsidR="00E33B58" w:rsidRPr="00E33B58" w:rsidRDefault="00E33B58" w:rsidP="00E33B5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33B58">
        <w:rPr>
          <w:rFonts w:ascii="Arial" w:hAnsi="Arial" w:cs="Arial"/>
          <w:color w:val="000000"/>
          <w:sz w:val="20"/>
          <w:szCs w:val="20"/>
        </w:rPr>
        <w:br/>
        <w:t>ustala się dochody budżetu w kwocie 29.981.668,52 zł, w tym:</w:t>
      </w:r>
    </w:p>
    <w:p w14:paraId="7F21EF90" w14:textId="77777777" w:rsidR="00E33B58" w:rsidRPr="00E33B58" w:rsidRDefault="00E33B58" w:rsidP="00E33B5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- dochody bieżące       –  26.216.099,94 zł</w:t>
      </w:r>
    </w:p>
    <w:p w14:paraId="53F05276" w14:textId="77777777" w:rsidR="00E33B58" w:rsidRPr="00E33B58" w:rsidRDefault="00E33B58" w:rsidP="00E33B5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- dochody majątkowe  –    3.765.568,58 zł.</w:t>
      </w:r>
    </w:p>
    <w:p w14:paraId="4598491E" w14:textId="77777777" w:rsidR="00E33B58" w:rsidRPr="00E33B58" w:rsidRDefault="00E33B58" w:rsidP="00E33B5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33B58">
        <w:rPr>
          <w:rFonts w:ascii="Arial" w:hAnsi="Arial" w:cs="Arial"/>
          <w:color w:val="000000"/>
          <w:sz w:val="20"/>
          <w:szCs w:val="20"/>
        </w:rPr>
        <w:br/>
        <w:t>ustala się wydatki budżetu w kwocie 31.440.928,52 zł, w tym:</w:t>
      </w:r>
    </w:p>
    <w:p w14:paraId="7E39CBFA" w14:textId="77777777" w:rsidR="00E33B58" w:rsidRPr="00E33B58" w:rsidRDefault="00E33B58" w:rsidP="00E33B5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- wydatki bieżące      – 25.402.904,24 zł,</w:t>
      </w:r>
    </w:p>
    <w:p w14:paraId="0A532BFC" w14:textId="77777777" w:rsidR="00E33B58" w:rsidRPr="00E33B58" w:rsidRDefault="00E33B58" w:rsidP="00E33B5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- wydatki majątkowe –   6.038.024,28 zł.</w:t>
      </w:r>
    </w:p>
    <w:p w14:paraId="33CB2742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ADD81C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33B5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E33B5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E33B58">
        <w:rPr>
          <w:rFonts w:ascii="Arial" w:hAnsi="Arial" w:cs="Arial"/>
          <w:sz w:val="20"/>
          <w:szCs w:val="20"/>
        </w:rPr>
        <w:br/>
        <w:t>do Zarządzenia.</w:t>
      </w:r>
    </w:p>
    <w:p w14:paraId="0F486871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DB685A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73F3277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33B5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33B5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E7FDD0A" w14:textId="77777777" w:rsidR="00E33B58" w:rsidRPr="00E33B58" w:rsidRDefault="00E33B58" w:rsidP="00E33B5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A4FB25C" w14:textId="77777777" w:rsidR="00E33B58" w:rsidRPr="00E33B58" w:rsidRDefault="00E33B58" w:rsidP="00E33B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67EC03E" w14:textId="77777777" w:rsidR="007D07F4" w:rsidRDefault="007D07F4">
      <w:bookmarkStart w:id="0" w:name="_GoBack"/>
      <w:bookmarkEnd w:id="0"/>
    </w:p>
    <w:sectPr w:rsidR="007D07F4" w:rsidSect="00757ED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749"/>
    <w:rsid w:val="003261E2"/>
    <w:rsid w:val="00546076"/>
    <w:rsid w:val="007D07F4"/>
    <w:rsid w:val="008F2303"/>
    <w:rsid w:val="00A14749"/>
    <w:rsid w:val="00CC44E7"/>
    <w:rsid w:val="00E3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AF969-C4D9-48FE-B612-D323E355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33B5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2020-12-12T16:59:00Z</dcterms:created>
  <dcterms:modified xsi:type="dcterms:W3CDTF">2020-12-12T16:59:00Z</dcterms:modified>
</cp:coreProperties>
</file>