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</w:p>
    <w:p w14:paraId="00000002" w14:textId="0DEB1451" w:rsidR="002A3A8B" w:rsidRPr="00593D41" w:rsidRDefault="002021A4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Załącznik nr 3 do Zaproszenia do składania ofert </w:t>
      </w:r>
    </w:p>
    <w:p w14:paraId="00000003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4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5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6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7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8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9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A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B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C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D" w14:textId="77777777" w:rsidR="002A3A8B" w:rsidRPr="00593D41" w:rsidRDefault="00935354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36"/>
          <w:szCs w:val="36"/>
          <w:u w:val="single"/>
        </w:rPr>
      </w:pPr>
      <w:r w:rsidRPr="00593D41">
        <w:rPr>
          <w:rFonts w:ascii="Tahoma" w:eastAsia="Tahoma" w:hAnsi="Tahoma" w:cs="Tahoma"/>
          <w:color w:val="000000"/>
          <w:sz w:val="36"/>
          <w:szCs w:val="36"/>
          <w:u w:val="single"/>
        </w:rPr>
        <w:t xml:space="preserve">OPIS PRZEDMIOTU ZAMÓWIENIA </w:t>
      </w:r>
    </w:p>
    <w:p w14:paraId="0000000E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F" w14:textId="77777777" w:rsidR="002A3A8B" w:rsidRPr="00593D41" w:rsidRDefault="002A3A8B">
      <w:pPr>
        <w:pStyle w:val="Tytu"/>
        <w:pBdr>
          <w:bottom w:val="none" w:sz="0" w:space="0" w:color="000000"/>
        </w:pBdr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1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2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3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4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5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6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7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8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9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A" w14:textId="77777777" w:rsidR="002A3A8B" w:rsidRPr="00593D41" w:rsidRDefault="002A3A8B">
      <w:pPr>
        <w:jc w:val="center"/>
        <w:rPr>
          <w:rFonts w:ascii="Tahoma" w:eastAsia="Tahoma" w:hAnsi="Tahoma" w:cs="Tahoma"/>
          <w:sz w:val="20"/>
          <w:szCs w:val="20"/>
        </w:rPr>
      </w:pPr>
    </w:p>
    <w:p w14:paraId="0000001B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</w:p>
    <w:p w14:paraId="0000001C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1D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b/>
          <w:color w:val="000000"/>
          <w:sz w:val="20"/>
          <w:szCs w:val="20"/>
          <w:u w:val="single"/>
        </w:rPr>
      </w:pPr>
    </w:p>
    <w:p w14:paraId="0000001E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1F" w14:textId="77777777" w:rsidR="002A3A8B" w:rsidRPr="00593D41" w:rsidRDefault="0093535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 xml:space="preserve">SPIS TREŚCI </w:t>
      </w:r>
    </w:p>
    <w:sdt>
      <w:sdtPr>
        <w:rPr>
          <w:rFonts w:ascii="Tahoma" w:hAnsi="Tahoma" w:cs="Tahoma"/>
          <w:b w:val="0"/>
          <w:bCs w:val="0"/>
          <w:sz w:val="20"/>
          <w:szCs w:val="20"/>
        </w:rPr>
        <w:id w:val="-1549828281"/>
        <w:docPartObj>
          <w:docPartGallery w:val="Table of Contents"/>
          <w:docPartUnique/>
        </w:docPartObj>
      </w:sdtPr>
      <w:sdtEndPr/>
      <w:sdtContent>
        <w:p w14:paraId="2C739403" w14:textId="18CB2B5C" w:rsidR="00593D41" w:rsidRPr="00593D41" w:rsidRDefault="00935354">
          <w:pPr>
            <w:pStyle w:val="Spistreci1"/>
            <w:rPr>
              <w:rFonts w:ascii="Tahoma" w:eastAsiaTheme="minorEastAsia" w:hAnsi="Tahoma" w:cs="Tahoma"/>
              <w:b w:val="0"/>
              <w:bCs w:val="0"/>
              <w:noProof/>
              <w:sz w:val="20"/>
              <w:szCs w:val="20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begin"/>
          </w:r>
          <w:r w:rsidRPr="00593D41">
            <w:rPr>
              <w:rFonts w:ascii="Tahoma" w:hAnsi="Tahoma" w:cs="Tahoma"/>
              <w:sz w:val="20"/>
              <w:szCs w:val="20"/>
            </w:rPr>
            <w:instrText xml:space="preserve"> TOC \h \u \z </w:instrText>
          </w:r>
          <w:r w:rsidRPr="00593D41">
            <w:rPr>
              <w:rFonts w:ascii="Tahoma" w:hAnsi="Tahoma" w:cs="Tahoma"/>
              <w:sz w:val="20"/>
              <w:szCs w:val="20"/>
            </w:rPr>
            <w:fldChar w:fldCharType="separate"/>
          </w:r>
          <w:hyperlink w:anchor="_Toc128483709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Wstęp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_Toc128483709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3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020C82" w14:textId="6D465A8D" w:rsidR="00593D41" w:rsidRPr="00593D41" w:rsidRDefault="003E2AA1">
          <w:pPr>
            <w:pStyle w:val="Spistreci1"/>
            <w:rPr>
              <w:rFonts w:ascii="Tahoma" w:eastAsiaTheme="minorEastAsia" w:hAnsi="Tahoma" w:cs="Tahoma"/>
              <w:b w:val="0"/>
              <w:bCs w:val="0"/>
              <w:noProof/>
              <w:sz w:val="20"/>
              <w:szCs w:val="20"/>
            </w:rPr>
          </w:pPr>
          <w:hyperlink w:anchor="_Toc128483710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Wymagania minimalne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_Toc128483710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4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EA6B3C4" w14:textId="69A4D384" w:rsidR="00593D41" w:rsidRPr="00593D41" w:rsidRDefault="003E2AA1">
          <w:pPr>
            <w:pStyle w:val="Spistreci2"/>
            <w:tabs>
              <w:tab w:val="right" w:leader="dot" w:pos="9771"/>
            </w:tabs>
            <w:rPr>
              <w:rFonts w:ascii="Tahoma" w:eastAsiaTheme="minorEastAsia" w:hAnsi="Tahoma" w:cs="Tahoma"/>
              <w:noProof/>
              <w:sz w:val="20"/>
              <w:szCs w:val="20"/>
            </w:rPr>
          </w:pPr>
          <w:hyperlink w:anchor="_Toc128483711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System serwerowy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_Toc128483711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4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C4B2632" w14:textId="5FCB6682" w:rsidR="00593D41" w:rsidRPr="00593D41" w:rsidRDefault="003E2AA1">
          <w:pPr>
            <w:pStyle w:val="Spistreci2"/>
            <w:tabs>
              <w:tab w:val="right" w:leader="dot" w:pos="9771"/>
            </w:tabs>
            <w:rPr>
              <w:rFonts w:ascii="Tahoma" w:eastAsiaTheme="minorEastAsia" w:hAnsi="Tahoma" w:cs="Tahoma"/>
              <w:noProof/>
              <w:sz w:val="20"/>
              <w:szCs w:val="20"/>
            </w:rPr>
          </w:pPr>
          <w:hyperlink w:anchor="_Toc128483712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UPS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_Toc128483712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8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050449" w14:textId="3F3EFFE6" w:rsidR="00593D41" w:rsidRPr="00593D41" w:rsidRDefault="003E2AA1">
          <w:pPr>
            <w:pStyle w:val="Spistreci2"/>
            <w:tabs>
              <w:tab w:val="right" w:leader="dot" w:pos="9771"/>
            </w:tabs>
            <w:rPr>
              <w:rFonts w:ascii="Tahoma" w:eastAsiaTheme="minorEastAsia" w:hAnsi="Tahoma" w:cs="Tahoma"/>
              <w:noProof/>
              <w:sz w:val="20"/>
              <w:szCs w:val="20"/>
            </w:rPr>
          </w:pPr>
          <w:hyperlink w:anchor="_Toc128483713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Przełącznik typ I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_Toc128483713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9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8E6FDDC" w14:textId="383481F6" w:rsidR="00593D41" w:rsidRDefault="003E2AA1" w:rsidP="00F70943">
          <w:pPr>
            <w:pStyle w:val="Spistreci2"/>
            <w:tabs>
              <w:tab w:val="right" w:leader="dot" w:pos="9771"/>
            </w:tabs>
            <w:rPr>
              <w:rFonts w:ascii="Tahoma" w:hAnsi="Tahoma" w:cs="Tahoma"/>
              <w:noProof/>
              <w:sz w:val="20"/>
              <w:szCs w:val="20"/>
            </w:rPr>
          </w:pPr>
          <w:hyperlink w:anchor="_Toc128483714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Przełącznik typ II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F70943">
              <w:rPr>
                <w:rFonts w:ascii="Tahoma" w:hAnsi="Tahoma" w:cs="Tahoma"/>
                <w:noProof/>
                <w:webHidden/>
                <w:sz w:val="20"/>
                <w:szCs w:val="20"/>
              </w:rPr>
              <w:t>1</w:t>
            </w:r>
            <w:r w:rsidR="00731490">
              <w:rPr>
                <w:rFonts w:ascii="Tahoma" w:hAnsi="Tahoma" w:cs="Tahoma"/>
                <w:noProof/>
                <w:webHidden/>
                <w:sz w:val="20"/>
                <w:szCs w:val="20"/>
              </w:rPr>
              <w:t>1</w:t>
            </w:r>
          </w:hyperlink>
        </w:p>
        <w:p w14:paraId="55C8EE17" w14:textId="1F602F9B" w:rsidR="00F70943" w:rsidRPr="00731490" w:rsidRDefault="00F70943" w:rsidP="00F70943">
          <w:pPr>
            <w:ind w:firstLine="220"/>
            <w:rPr>
              <w:rFonts w:ascii="Tahoma" w:eastAsiaTheme="minorEastAsia" w:hAnsi="Tahoma" w:cs="Tahoma"/>
              <w:b/>
              <w:sz w:val="20"/>
              <w:szCs w:val="20"/>
            </w:rPr>
          </w:pPr>
          <w:r w:rsidRPr="00F70943">
            <w:rPr>
              <w:rFonts w:ascii="Tahoma" w:eastAsiaTheme="minorEastAsia" w:hAnsi="Tahoma" w:cs="Tahoma"/>
              <w:sz w:val="20"/>
              <w:szCs w:val="20"/>
            </w:rPr>
            <w:t>Urządzenie klasy UTM</w:t>
          </w:r>
          <w:r>
            <w:rPr>
              <w:rFonts w:ascii="Tahoma" w:eastAsiaTheme="minorEastAsia" w:hAnsi="Tahoma" w:cs="Tahoma"/>
              <w:sz w:val="20"/>
              <w:szCs w:val="20"/>
            </w:rPr>
            <w:t xml:space="preserve"> </w:t>
          </w:r>
          <w:r w:rsidRPr="00731490">
            <w:rPr>
              <w:rFonts w:ascii="Tahoma" w:eastAsiaTheme="minorEastAsia" w:hAnsi="Tahoma" w:cs="Tahoma"/>
              <w:sz w:val="20"/>
              <w:szCs w:val="20"/>
            </w:rPr>
            <w:t>………………………………………………………………………………………</w:t>
          </w:r>
          <w:r w:rsidR="00731490">
            <w:rPr>
              <w:rFonts w:ascii="Tahoma" w:eastAsiaTheme="minorEastAsia" w:hAnsi="Tahoma" w:cs="Tahoma"/>
              <w:sz w:val="20"/>
              <w:szCs w:val="20"/>
            </w:rPr>
            <w:t>………………………..</w:t>
          </w:r>
          <w:r w:rsidRPr="00731490">
            <w:rPr>
              <w:rFonts w:ascii="Tahoma" w:eastAsiaTheme="minorEastAsia" w:hAnsi="Tahoma" w:cs="Tahoma"/>
              <w:sz w:val="20"/>
              <w:szCs w:val="20"/>
            </w:rPr>
            <w:t>……</w:t>
          </w:r>
          <w:r w:rsidR="00731490" w:rsidRPr="00731490">
            <w:rPr>
              <w:rFonts w:ascii="Tahoma" w:eastAsiaTheme="minorEastAsia" w:hAnsi="Tahoma" w:cs="Tahoma"/>
              <w:sz w:val="20"/>
              <w:szCs w:val="20"/>
            </w:rPr>
            <w:t>12</w:t>
          </w:r>
        </w:p>
        <w:p w14:paraId="62B82877" w14:textId="52722A20" w:rsidR="00593D41" w:rsidRPr="00593D41" w:rsidRDefault="003E2AA1">
          <w:pPr>
            <w:pStyle w:val="Spistreci1"/>
            <w:rPr>
              <w:rFonts w:ascii="Tahoma" w:eastAsiaTheme="minorEastAsia" w:hAnsi="Tahoma" w:cs="Tahoma"/>
              <w:b w:val="0"/>
              <w:bCs w:val="0"/>
              <w:noProof/>
              <w:sz w:val="20"/>
              <w:szCs w:val="20"/>
            </w:rPr>
          </w:pPr>
          <w:hyperlink w:anchor="_Toc128483717" w:history="1">
            <w:r w:rsidR="00593D41" w:rsidRPr="00593D41">
              <w:rPr>
                <w:rStyle w:val="Hipercze"/>
                <w:rFonts w:ascii="Tahoma" w:eastAsia="Tahoma" w:hAnsi="Tahoma" w:cs="Tahoma"/>
                <w:noProof/>
                <w:sz w:val="20"/>
                <w:szCs w:val="20"/>
              </w:rPr>
              <w:t>Wymagania dodatkowe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ab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begin"/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instrText xml:space="preserve"> PAGEREF _Toc128483717 \h </w:instrTex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separate"/>
            </w:r>
            <w:r w:rsid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t>1</w:t>
            </w:r>
            <w:r w:rsidR="00731490">
              <w:rPr>
                <w:rFonts w:ascii="Tahoma" w:hAnsi="Tahoma" w:cs="Tahoma"/>
                <w:noProof/>
                <w:webHidden/>
                <w:sz w:val="20"/>
                <w:szCs w:val="20"/>
              </w:rPr>
              <w:t>2</w:t>
            </w:r>
            <w:r w:rsidR="00593D41" w:rsidRPr="00593D41">
              <w:rPr>
                <w:rFonts w:ascii="Tahoma" w:hAnsi="Tahoma" w:cs="Tahom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000002E" w14:textId="18E536CA" w:rsidR="002A3A8B" w:rsidRPr="00593D41" w:rsidRDefault="00935354">
          <w:pPr>
            <w:rPr>
              <w:rFonts w:ascii="Tahoma" w:eastAsia="Tahoma" w:hAnsi="Tahoma" w:cs="Tahoma"/>
              <w:sz w:val="20"/>
              <w:szCs w:val="20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end"/>
          </w:r>
        </w:p>
      </w:sdtContent>
    </w:sdt>
    <w:p w14:paraId="0000002F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0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1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2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0" w:name="_Toc128483709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Wstęp</w:t>
      </w:r>
      <w:bookmarkEnd w:id="0"/>
    </w:p>
    <w:p w14:paraId="00000033" w14:textId="77777777" w:rsidR="002A3A8B" w:rsidRPr="00593D41" w:rsidRDefault="002A3A8B">
      <w:pPr>
        <w:jc w:val="both"/>
        <w:rPr>
          <w:rFonts w:ascii="Tahoma" w:eastAsia="Tahoma" w:hAnsi="Tahoma" w:cs="Tahoma"/>
          <w:sz w:val="20"/>
          <w:szCs w:val="20"/>
        </w:rPr>
      </w:pPr>
    </w:p>
    <w:p w14:paraId="00000034" w14:textId="73BA2FCC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Niniejszy dokument określa minimalne wymagania dla przedmiotu zamówienia dotyczącego realizacji projektu pn.: „Cyfrow</w:t>
      </w:r>
      <w:r w:rsidR="001C7B2A" w:rsidRPr="00593D41">
        <w:rPr>
          <w:rFonts w:ascii="Tahoma" w:eastAsia="Tahoma" w:hAnsi="Tahoma" w:cs="Tahoma"/>
          <w:sz w:val="20"/>
          <w:szCs w:val="20"/>
        </w:rPr>
        <w:t>y Powiat</w:t>
      </w:r>
      <w:r w:rsidRPr="00593D41">
        <w:rPr>
          <w:rFonts w:ascii="Tahoma" w:eastAsia="Tahoma" w:hAnsi="Tahoma" w:cs="Tahoma"/>
          <w:sz w:val="20"/>
          <w:szCs w:val="20"/>
        </w:rPr>
        <w:t>” realizowan</w:t>
      </w:r>
      <w:r w:rsidR="001C7B2A" w:rsidRPr="00593D41">
        <w:rPr>
          <w:rFonts w:ascii="Tahoma" w:eastAsia="Tahoma" w:hAnsi="Tahoma" w:cs="Tahoma"/>
          <w:sz w:val="20"/>
          <w:szCs w:val="20"/>
        </w:rPr>
        <w:t>y</w:t>
      </w:r>
      <w:r w:rsidRPr="00593D41">
        <w:rPr>
          <w:rFonts w:ascii="Tahoma" w:eastAsia="Tahoma" w:hAnsi="Tahoma" w:cs="Tahoma"/>
          <w:sz w:val="20"/>
          <w:szCs w:val="20"/>
        </w:rPr>
        <w:t xml:space="preserve"> przez </w:t>
      </w:r>
      <w:r w:rsidR="001C7B2A" w:rsidRPr="00593D41">
        <w:rPr>
          <w:rFonts w:ascii="Tahoma" w:eastAsia="Tahoma" w:hAnsi="Tahoma" w:cs="Tahoma"/>
          <w:sz w:val="20"/>
          <w:szCs w:val="20"/>
        </w:rPr>
        <w:t>Powiat Świebodzin.</w:t>
      </w:r>
    </w:p>
    <w:p w14:paraId="00000035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036" w14:textId="78A5C2EA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Zakup jest finansowany ze środków Europejskiego Funduszu Rozwoju Regionalnego w ramach Programu Operacyjnego Polska Cyfrowa na lata 2014-2020 Osi Priorytetowej V Rozwój cyfrowy JST oraz wzmocnienie cyfrowej odporności na zagrożenia REACT-EU działania 5.1 Rozwój cyfrowy JST oraz wzmocnienie cyfrowej odporności na zagrożenia, dotyczący realizacji projektu grantowego „Cyfrow</w:t>
      </w:r>
      <w:r w:rsidR="001C7B2A" w:rsidRPr="00593D41">
        <w:rPr>
          <w:rFonts w:ascii="Tahoma" w:eastAsia="Tahoma" w:hAnsi="Tahoma" w:cs="Tahoma"/>
          <w:sz w:val="20"/>
          <w:szCs w:val="20"/>
        </w:rPr>
        <w:t xml:space="preserve">y Powiat” </w:t>
      </w:r>
      <w:r w:rsidRPr="00593D41">
        <w:rPr>
          <w:rFonts w:ascii="Tahoma" w:eastAsia="Tahoma" w:hAnsi="Tahoma" w:cs="Tahoma"/>
          <w:sz w:val="20"/>
          <w:szCs w:val="20"/>
        </w:rPr>
        <w:t xml:space="preserve">dla </w:t>
      </w:r>
      <w:r w:rsidR="001C7B2A" w:rsidRPr="00593D41">
        <w:rPr>
          <w:rFonts w:ascii="Tahoma" w:eastAsia="Tahoma" w:hAnsi="Tahoma" w:cs="Tahoma"/>
          <w:sz w:val="20"/>
          <w:szCs w:val="20"/>
        </w:rPr>
        <w:t>Powiatu Świebodzińskiego</w:t>
      </w:r>
      <w:r w:rsidR="002021A4">
        <w:rPr>
          <w:rFonts w:ascii="Tahoma" w:eastAsia="Tahoma" w:hAnsi="Tahoma" w:cs="Tahoma"/>
          <w:sz w:val="20"/>
          <w:szCs w:val="20"/>
        </w:rPr>
        <w:t>.</w:t>
      </w:r>
    </w:p>
    <w:p w14:paraId="00000037" w14:textId="77777777" w:rsidR="002A3A8B" w:rsidRPr="00593D41" w:rsidRDefault="00935354">
      <w:pPr>
        <w:spacing w:after="160" w:line="360" w:lineRule="auto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8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</w:p>
    <w:p w14:paraId="2553B485" w14:textId="77777777" w:rsidR="002021A4" w:rsidRPr="00731490" w:rsidRDefault="00935354" w:rsidP="002021A4">
      <w:pPr>
        <w:pStyle w:val="Nagwek1"/>
        <w:rPr>
          <w:rFonts w:ascii="Arial Narrow" w:hAnsi="Arial Narrow"/>
          <w:sz w:val="28"/>
          <w:szCs w:val="28"/>
        </w:rPr>
      </w:pPr>
      <w:bookmarkStart w:id="1" w:name="_Toc128483710"/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Wymagania minimalne</w:t>
      </w:r>
      <w:bookmarkEnd w:id="1"/>
      <w:r w:rsidR="002021A4" w:rsidRPr="00731490">
        <w:rPr>
          <w:rFonts w:ascii="Arial Narrow" w:hAnsi="Arial Narrow"/>
          <w:sz w:val="28"/>
          <w:szCs w:val="28"/>
        </w:rPr>
        <w:t xml:space="preserve"> </w:t>
      </w:r>
    </w:p>
    <w:p w14:paraId="3A51C40D" w14:textId="17412364" w:rsidR="002021A4" w:rsidRPr="00731490" w:rsidRDefault="002021A4" w:rsidP="002021A4">
      <w:pPr>
        <w:pStyle w:val="Nagwek1"/>
        <w:rPr>
          <w:rFonts w:ascii="Tahoma" w:eastAsia="Tahoma" w:hAnsi="Tahoma" w:cs="Tahoma"/>
          <w:b/>
          <w:color w:val="000000"/>
          <w:sz w:val="28"/>
          <w:szCs w:val="28"/>
        </w:rPr>
      </w:pPr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Sprzęt o parametrach równoważnych lub lepszych.</w:t>
      </w:r>
    </w:p>
    <w:p w14:paraId="0000003B" w14:textId="05CDFC94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C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</w:p>
    <w:p w14:paraId="50A8EB4F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2" w:name="_Toc128483711"/>
      <w:r>
        <w:rPr>
          <w:rFonts w:ascii="Tahoma" w:eastAsia="Tahoma" w:hAnsi="Tahoma" w:cs="Tahoma"/>
          <w:sz w:val="20"/>
          <w:szCs w:val="20"/>
        </w:rPr>
        <w:t>System serwerowy</w:t>
      </w:r>
      <w:bookmarkEnd w:id="2"/>
    </w:p>
    <w:p w14:paraId="7B581A53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1E6B3A34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F6E02E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30332A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A3650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EC25D2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17C7398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64F7EC4C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4A84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Obudowa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83A1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 wysokości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max 2U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 możliwością instalacji do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8 dysków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</w:rPr>
              <w:t>3.5"</w:t>
            </w:r>
            <w:r w:rsidRPr="00BD1B2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Hot-Plug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wraz z kompletem wysuwanych szyn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umożliwiających montaż w szafie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i wysuwanie serwera do celów serwisowych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oraz organizatorem do kabli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. </w:t>
            </w:r>
          </w:p>
          <w:p w14:paraId="6F387BF2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z możliwością wyposażenia w 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BLE/ WIFI.</w:t>
            </w:r>
          </w:p>
        </w:tc>
      </w:tr>
      <w:tr w:rsidR="005B1BE2" w14:paraId="228DE8B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10358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Płyta główna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9F160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Płyta główna z możliwością zainstalowania minimum dwóch procesorów Intel 3rd Gen. Płyta główna musi być zaprojektowana przez producenta serwera i oznaczona jego znakiem firmowym.</w:t>
            </w:r>
          </w:p>
        </w:tc>
      </w:tr>
      <w:tr w:rsidR="005B1BE2" w14:paraId="620E420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64DB0" w14:textId="77777777" w:rsidR="005B1BE2" w:rsidRDefault="005B1BE2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Chipset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F272B" w14:textId="77777777" w:rsidR="005B1BE2" w:rsidRDefault="005B1BE2">
            <w:pPr>
              <w:rPr>
                <w:rStyle w:val="pointnormal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Dedykowany przez producenta procesora do pracy w serwerach dwuprocesorowych</w:t>
            </w:r>
          </w:p>
        </w:tc>
      </w:tr>
      <w:tr w:rsidR="005B1BE2" w14:paraId="33986DF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73911" w14:textId="77777777" w:rsidR="005B1BE2" w:rsidRDefault="005B1BE2">
            <w:pPr>
              <w:jc w:val="center"/>
              <w:rPr>
                <w:b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Procesor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5220F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3" w:name="_Hlk128483587"/>
            <w:r>
              <w:rPr>
                <w:rFonts w:ascii="Tahoma" w:hAnsi="Tahoma" w:cs="Tahoma"/>
                <w:sz w:val="20"/>
                <w:szCs w:val="20"/>
              </w:rPr>
              <w:t xml:space="preserve">Zainstalowany jeden procesor 8-rdzeniowy klasy x86, min. 2.8GHz, dedykowany do pracy z zaoferowanym serwerem umożliwiający osiągnięcie wyniku min. 134 w teście SPECrate2017_int_base, dostępnym na stronie www.spec.org dla konfiguracji dwuprocesorowej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wydruk należy </w:t>
            </w:r>
            <w:sdt>
              <w:sdtPr>
                <w:tag w:val="goog_rdk_0"/>
                <w:id w:val="-1451858314"/>
              </w:sdtPr>
              <w:sdtEndPr/>
              <w:sdtContent/>
            </w:sdt>
            <w:r>
              <w:rPr>
                <w:rFonts w:ascii="Tahoma" w:eastAsia="Tahoma" w:hAnsi="Tahoma" w:cs="Tahoma"/>
                <w:sz w:val="20"/>
                <w:szCs w:val="20"/>
              </w:rPr>
              <w:t>dołączyć do oferty. Dopuszcza się wydruk w języku angielskim.</w:t>
            </w:r>
            <w:bookmarkEnd w:id="3"/>
          </w:p>
        </w:tc>
      </w:tr>
      <w:tr w:rsidR="005B1BE2" w14:paraId="060D0DCE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F98BC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RAM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355BD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64GB DDR4 RDIMM 3200MT/s, na płycie głównej powinno znajdować się minimum 16 slotów przeznaczonych do instalacji pamięci. Płyta główna powinna obsługiwać do 1TB pamięci RAM.</w:t>
            </w:r>
          </w:p>
        </w:tc>
      </w:tr>
      <w:tr w:rsidR="005B1BE2" w14:paraId="54ABBFE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738A8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Zabezpieczenia pamięci RAM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54DF1" w14:textId="77777777" w:rsidR="005B1BE2" w:rsidRDefault="005B1BE2">
            <w:pPr>
              <w:rPr>
                <w:rStyle w:val="pointnormal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Advanced ECC, Memory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Page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Retire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Fault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Resilient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Memory, Memory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Self-Healing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lub PPR,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Partial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Cache Line Sparing</w:t>
            </w:r>
          </w:p>
        </w:tc>
      </w:tr>
      <w:tr w:rsidR="005B1BE2" w14:paraId="4DE45A5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E31AC" w14:textId="77777777" w:rsidR="005B1BE2" w:rsidRDefault="005B1BE2">
            <w:pPr>
              <w:jc w:val="center"/>
              <w:rPr>
                <w:b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Gniazda PCI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4802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- minimum dwa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sloty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PCIe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 czego przynajmniej jeden generacji 4 </w:t>
            </w:r>
          </w:p>
        </w:tc>
      </w:tr>
      <w:tr w:rsidR="005B1BE2" w14:paraId="26711E14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B7C99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Interfejsy sieciowe/FC/SAS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7D91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Wbudowane min.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2 interfejsy sieciowe 1Gb Ethernet w standardzie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BaseT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oraz min. 2 interfejsy sieciowe 10Gb Ethernet w standardzie SFP+ (porty nie mogą być osiągnięte poprzez karty w slotach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PCIe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</w:tr>
      <w:tr w:rsidR="005B1BE2" w14:paraId="4A0CF3DA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BB85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Dyski twarde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C8C1E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Zainstalowane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: </w:t>
            </w:r>
          </w:p>
          <w:p w14:paraId="5F984DE9" w14:textId="77777777" w:rsidR="005B1BE2" w:rsidRDefault="005B1BE2" w:rsidP="005B1BE2">
            <w:pPr>
              <w:pStyle w:val="Akapitzlist"/>
              <w:numPr>
                <w:ilvl w:val="0"/>
                <w:numId w:val="3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4x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SSD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  <w:lang w:val="de-DE"/>
              </w:rPr>
              <w:t>960GB</w:t>
            </w:r>
            <w:r w:rsidRPr="00BD1B26">
              <w:rPr>
                <w:rFonts w:ascii="Tahoma" w:hAnsi="Tahoma" w:cs="Tahoma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de-DE"/>
              </w:rPr>
              <w:t>6Gbps, Hot-Plug</w:t>
            </w:r>
          </w:p>
          <w:p w14:paraId="70F1DCE0" w14:textId="77777777" w:rsidR="005B1BE2" w:rsidRDefault="005B1BE2" w:rsidP="005B1BE2">
            <w:pPr>
              <w:pStyle w:val="Akapitzlist"/>
              <w:numPr>
                <w:ilvl w:val="0"/>
                <w:numId w:val="3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HDD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4T, 6Gbps, Hot-Plug </w:t>
            </w:r>
          </w:p>
          <w:p w14:paraId="09B37989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instalacji dwóch dysków M.2 SATA o pojemności min. 480GB Hot-Plug z możliwością konfiguracji RAID 1.</w:t>
            </w:r>
          </w:p>
          <w:p w14:paraId="454A2F7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Możliwość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zainstalowania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dedykowanego modułu dla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hypervisora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wyposażony w 2 nośniki typu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flash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 pojemności min. 64GB, z możliwością konfiguracji zabezpieczenia synchronizacji pomiędzy nośnikami z poziomu BIOS serwera, rozwiązanie nie może powodować zmniejszenia ilości wnęk na dyski twarde.</w:t>
            </w:r>
          </w:p>
        </w:tc>
      </w:tr>
      <w:tr w:rsidR="005B1BE2" w14:paraId="5866A19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3CE6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Kontroler RAID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342CE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Sprzętowy kontroler dyskowy posiadający min. 8GB nieulotnej pamięci cache, </w:t>
            </w:r>
            <w:r>
              <w:rPr>
                <w:rFonts w:ascii="Tahoma" w:hAnsi="Tahoma" w:cs="Tahoma"/>
                <w:sz w:val="20"/>
                <w:szCs w:val="20"/>
              </w:rPr>
              <w:t xml:space="preserve">umożliwiający konfigurację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poziomów RAID: 0, 1, 5, 6, 10, 50, 60. Wsparcie dla dysków SED.</w:t>
            </w:r>
          </w:p>
        </w:tc>
      </w:tr>
      <w:tr w:rsidR="005B1BE2" w14:paraId="53B9382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2060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System operacyjny/System wirtualizacji/dodatkowe oprogramowanie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D40A3" w14:textId="77777777" w:rsidR="005B1BE2" w:rsidRDefault="005B1BE2">
            <w:pPr>
              <w:pStyle w:val="Default"/>
              <w:rPr>
                <w:rFonts w:ascii="Tahoma" w:hAnsi="Tahoma" w:cs="Tahoma"/>
                <w:sz w:val="20"/>
                <w:szCs w:val="20"/>
                <w:lang w:val="pl-PL"/>
              </w:rPr>
            </w:pPr>
            <w:r>
              <w:rPr>
                <w:rFonts w:ascii="Tahoma" w:hAnsi="Tahoma" w:cs="Tahoma"/>
                <w:sz w:val="20"/>
                <w:szCs w:val="20"/>
                <w:lang w:val="pl-PL"/>
              </w:rPr>
              <w:t>Microsoft Windows Serwer 2022 Standard wraz z:</w:t>
            </w:r>
          </w:p>
          <w:p w14:paraId="3C6572D3" w14:textId="77777777" w:rsidR="005B1BE2" w:rsidRPr="00BD1B26" w:rsidRDefault="005B1BE2" w:rsidP="005B1BE2">
            <w:pPr>
              <w:pStyle w:val="Default"/>
              <w:numPr>
                <w:ilvl w:val="0"/>
                <w:numId w:val="38"/>
              </w:numPr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BD1B26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80 x</w:t>
            </w: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>licencja</w:t>
            </w:r>
            <w:proofErr w:type="spellEnd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Windows Server 2022 User CALs</w:t>
            </w:r>
          </w:p>
          <w:p w14:paraId="1AF2D8AE" w14:textId="77777777" w:rsidR="005B1BE2" w:rsidRPr="00BD1B26" w:rsidRDefault="005B1BE2" w:rsidP="005B1BE2">
            <w:pPr>
              <w:pStyle w:val="Default"/>
              <w:numPr>
                <w:ilvl w:val="0"/>
                <w:numId w:val="38"/>
              </w:numPr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Microsoft SQL Server </w:t>
            </w:r>
            <w:r w:rsidRPr="00BD1B26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2022</w:t>
            </w: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Standard, OEM </w:t>
            </w:r>
            <w:proofErr w:type="spellStart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>wraz</w:t>
            </w:r>
            <w:proofErr w:type="spellEnd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z:</w:t>
            </w:r>
          </w:p>
          <w:p w14:paraId="716F3E62" w14:textId="77777777" w:rsidR="005B1BE2" w:rsidRDefault="005B1BE2" w:rsidP="005B1BE2">
            <w:pPr>
              <w:pStyle w:val="Default"/>
              <w:numPr>
                <w:ilvl w:val="0"/>
                <w:numId w:val="38"/>
              </w:numPr>
              <w:rPr>
                <w:rFonts w:ascii="Tahoma" w:hAnsi="Tahoma" w:cs="Tahoma"/>
                <w:sz w:val="20"/>
                <w:szCs w:val="20"/>
              </w:rPr>
            </w:pP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2x </w:t>
            </w:r>
            <w:proofErr w:type="spellStart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>licencja</w:t>
            </w:r>
            <w:proofErr w:type="spellEnd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Microsoft SQL Server </w:t>
            </w:r>
            <w:r w:rsidRPr="00BD1B26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2022</w:t>
            </w: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Standard USER CALs</w:t>
            </w:r>
          </w:p>
        </w:tc>
      </w:tr>
      <w:tr w:rsidR="005B1BE2" w14:paraId="4401D2B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B0DA7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Wbudowane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porty</w:t>
            </w:r>
            <w:proofErr w:type="spellEnd"/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773F8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Przednie: min. 1x VGA, min. 1x USB 2.0, min. 1x micro-USB dedykowane dla karty zarządzającej,</w:t>
            </w:r>
          </w:p>
          <w:p w14:paraId="6E68C2B0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Tylne: min. 1x VGA, min. 2x USB w tym 1x USB 3.0,</w:t>
            </w:r>
          </w:p>
        </w:tc>
      </w:tr>
      <w:tr w:rsidR="005B1BE2" w14:paraId="51CB9A3B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DD58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Video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673F6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Zintegrowana karta graficzna umożliwiająca wyświetlenie rozdzielczości min. 1920x1200</w:t>
            </w:r>
          </w:p>
        </w:tc>
      </w:tr>
      <w:tr w:rsidR="005B1BE2" w14:paraId="3CEC467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8989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Zasilacze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1789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Redundantne, Hot-Plug min. 800W każdy</w:t>
            </w:r>
          </w:p>
        </w:tc>
      </w:tr>
      <w:tr w:rsidR="005B1BE2" w14:paraId="57EC121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84EF9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Bezpieczeństwo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A7715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Zatrzask górnej pokrywy oraz blokada na ramce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panela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zamykana na klucz służąca do ochrony nieautoryzowanego dostępu do dysków twardych. </w:t>
            </w:r>
          </w:p>
          <w:p w14:paraId="1D172531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wyłączenia w BIOS funkcji przycisku zasilania. </w:t>
            </w:r>
          </w:p>
          <w:p w14:paraId="1BFA83FF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BIOS ma możliwość przejścia do bezpiecznego trybu rozruchowego z możliwością zarządzania blokadą zasilania, panelem sterowania oraz zmianą hasła </w:t>
            </w:r>
          </w:p>
          <w:p w14:paraId="74A69424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Wbudowany czujnik otwarcia obudowy współpracujący z BIOS i kartą zarządzającą. </w:t>
            </w:r>
          </w:p>
          <w:p w14:paraId="358E265C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Moduł TPM 2.0 </w:t>
            </w:r>
          </w:p>
          <w:p w14:paraId="296265E0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dynamicznego włączania i wyłączania portów USB na obudowie – bez potrzeby restartu serwera</w:t>
            </w:r>
          </w:p>
          <w:p w14:paraId="3EEAFCAB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wymazania danych ze znajdujących się dysków wewnątrz serwera – niezależne od zainstalowanego systemu operacyjnego, uruchamiane z poziomu zarządzania serwerem</w:t>
            </w:r>
          </w:p>
        </w:tc>
      </w:tr>
      <w:tr w:rsidR="005B1BE2" w14:paraId="7A7E4A4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F2B17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Diagnostyka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DB50" w14:textId="77777777" w:rsidR="005B1BE2" w:rsidRDefault="005B1BE2">
            <w:pPr>
              <w:pStyle w:val="Nagwekspisutreci"/>
              <w:spacing w:before="0"/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 xml:space="preserve">Serwer wyposażony w panel LCD umieszczony na froncie obudowy, umożliwiający wyświetlenie informacji o stanie procesora, pamięci, dysków, </w:t>
            </w:r>
            <w:proofErr w:type="spellStart"/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>BIOS’u</w:t>
            </w:r>
            <w:proofErr w:type="spellEnd"/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>, zasilaniu oraz temperaturze.</w:t>
            </w:r>
          </w:p>
        </w:tc>
      </w:tr>
      <w:tr w:rsidR="005B1BE2" w14:paraId="502C5121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3704F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Karta Zarządzania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878AA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Niezależna od zainstalowanego na serwerze systemu operacyjnego posiadająca dedykowany port Gigabit Ethernet RJ-45 i umożliwiająca:</w:t>
            </w:r>
          </w:p>
          <w:p w14:paraId="0AA9F62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zdalny dostęp do graficznego interfejsu Web karty zarządzającej;</w:t>
            </w:r>
          </w:p>
          <w:p w14:paraId="35556C0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zdalne monitorowanie i informowanie o statusie serwera (m.in. prędkości obrotowej wentylatorów, konfiguracji serwera);</w:t>
            </w:r>
          </w:p>
          <w:p w14:paraId="291DCF9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szyfrowane połączenie (TLS) oraz autentykacje i autoryzację użytkownika;</w:t>
            </w:r>
          </w:p>
          <w:p w14:paraId="77B18A2D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podmontowania zdalnych wirtualnych napędów;</w:t>
            </w:r>
          </w:p>
          <w:p w14:paraId="710ED4A2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wirtualną konsolę z dostępem do myszy, klawiatury;</w:t>
            </w:r>
          </w:p>
          <w:p w14:paraId="6100477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IPv6;</w:t>
            </w:r>
          </w:p>
          <w:p w14:paraId="62C2300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wsparcie dla WSMAN (Web Service for Management); SNMP; IPMI2.0, SSH,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Redfish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4EB9D5F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zdalnego monitorowania w czasie rzeczywistym poboru prądu przez serwer;</w:t>
            </w:r>
          </w:p>
          <w:p w14:paraId="4A53030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zdalnego ustawienia limitu poboru prądu przez konkretny serwer;</w:t>
            </w:r>
          </w:p>
          <w:p w14:paraId="6DA8259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integracja z Active Directory;</w:t>
            </w:r>
          </w:p>
          <w:p w14:paraId="66B804D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obsługi przez dwóch administratorów jednocześnie;</w:t>
            </w:r>
          </w:p>
          <w:p w14:paraId="3C9DF82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wsparcie dla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dynamic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DNS;</w:t>
            </w:r>
          </w:p>
          <w:p w14:paraId="1346DB4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wysyłanie do administratora maila z powiadomieniem o awarii lub zmianie konfiguracji sprzętowej.</w:t>
            </w:r>
          </w:p>
          <w:p w14:paraId="2056C8C0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bezpośredniego zarządzania poprzez dedykowany port USB na przednim panelu serwera</w:t>
            </w:r>
          </w:p>
          <w:p w14:paraId="3C6029B1" w14:textId="77777777" w:rsidR="005B1BE2" w:rsidRDefault="005B1BE2" w:rsidP="005B1BE2">
            <w:pPr>
              <w:pStyle w:val="Nagwekspisutreci"/>
              <w:numPr>
                <w:ilvl w:val="0"/>
                <w:numId w:val="41"/>
              </w:numPr>
              <w:spacing w:before="0"/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lastRenderedPageBreak/>
              <w:t>możliwość zarządzania do 100 serwerów bezpośrednio z konsoli karty zarządzającej pojedynczego serwera</w:t>
            </w:r>
          </w:p>
        </w:tc>
      </w:tr>
      <w:tr w:rsidR="005B1BE2" w14:paraId="3E8E3E3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1330F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Oprogramowanie do zarządzania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098A6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zainstalowania oprogramowania producenta do zarządzania, spełniającego poniższe wymagania: </w:t>
            </w:r>
          </w:p>
          <w:p w14:paraId="396CD5BF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serwerów, urządzeń sieciowych oraz pamięci masowych </w:t>
            </w:r>
          </w:p>
          <w:p w14:paraId="1F50D8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integracja z Active Directory </w:t>
            </w:r>
          </w:p>
          <w:p w14:paraId="7B80385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zarządzania dostarczonymi serwerami bez udziału dedykowanego agenta </w:t>
            </w:r>
          </w:p>
          <w:p w14:paraId="00FF217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Wsparcie dla protokołów SNMP, IPMI, Linux SSH,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Redfish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  <w:p w14:paraId="56B409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uruchamiania procesu wykrywania urządzeń w oparciu o harmonogram </w:t>
            </w:r>
          </w:p>
          <w:p w14:paraId="53CF1F9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Szczegółowy opis wykrytych systemów oraz ich komponentów </w:t>
            </w:r>
          </w:p>
          <w:p w14:paraId="4BFBB8AD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eksportu raportu do CSV, HTML, XLS, PDF </w:t>
            </w:r>
          </w:p>
          <w:p w14:paraId="12E8900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tworzenia własnych raportów w oparciu o wszystkie informacje zawarte w inwentarzu. </w:t>
            </w:r>
          </w:p>
          <w:p w14:paraId="7EE930F4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Grupowanie urządzeń w oparciu o kryteria użytkownika </w:t>
            </w:r>
          </w:p>
          <w:p w14:paraId="5308027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Tworzenie automatycznie grup urządzeń w oparciu o dowolny element konfiguracji serwera np. Nazwa, lokalizacja, system operacyjny, obsadzenie slotów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PCIe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, pozostałego czasu gwarancji </w:t>
            </w:r>
          </w:p>
          <w:p w14:paraId="75546D5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uruchamiania narzędzi zarządzających w poszczególnych urządzeniach </w:t>
            </w:r>
          </w:p>
          <w:p w14:paraId="42F4A7EF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Szybki podgląd stanu środowiska </w:t>
            </w:r>
          </w:p>
          <w:p w14:paraId="3EDB4E2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Podsumowanie stanu dla każdego urządzenia </w:t>
            </w:r>
          </w:p>
          <w:p w14:paraId="7E52B95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Szczegółowy status urządzenia/elementu/komponentu </w:t>
            </w:r>
          </w:p>
          <w:p w14:paraId="469DF44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Generowanie alertów przy zmianie stanu urządzenia. </w:t>
            </w:r>
          </w:p>
          <w:p w14:paraId="34B163B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Filtry raportów umożliwiające podgląd najważniejszych zdarzeń </w:t>
            </w:r>
          </w:p>
          <w:p w14:paraId="144B637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Integracja z service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desk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producenta dostarczonej platformy sprzętowej </w:t>
            </w:r>
          </w:p>
          <w:p w14:paraId="2B3362A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przejęcia zdalnego pulpitu </w:t>
            </w:r>
          </w:p>
          <w:p w14:paraId="6D5BC69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podmontowania wirtualnego napędu </w:t>
            </w:r>
          </w:p>
          <w:p w14:paraId="74DEF56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Kreator umożliwiający dostosowanie akcji dla wybranych alertów </w:t>
            </w:r>
          </w:p>
          <w:p w14:paraId="2879938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importu plików MIB </w:t>
            </w:r>
          </w:p>
          <w:p w14:paraId="5B1DD93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Przesyłanie alertów „as-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is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” do innych konsol firm trzecich </w:t>
            </w:r>
          </w:p>
          <w:p w14:paraId="2323FDA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definiowania ról administratorów </w:t>
            </w:r>
          </w:p>
          <w:p w14:paraId="36C60F1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zdalnej aktualizacji oprogramowania wewnętrznego serwerów </w:t>
            </w:r>
          </w:p>
          <w:p w14:paraId="673D93A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Aktualizacja oparta o wybranie źródła bibliotek (lokalna, on-line producenta oferowanego rozwiązania) </w:t>
            </w:r>
          </w:p>
          <w:p w14:paraId="40569DF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instalacji oprogramowania wewnętrznego bez potrzeby instalacji agenta </w:t>
            </w:r>
          </w:p>
          <w:p w14:paraId="55F742A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automatycznego generowania i zgłaszania incydentów awarii bezpośrednio do centrum serwisowego producenta serwerów </w:t>
            </w:r>
          </w:p>
          <w:p w14:paraId="09C501C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Moduł raportujący pozwalający na wygenerowanie następujących informacji: nr seryjne sprzętu, konfiguracja poszczególnych urządzeń, wersje oprogramowania wewnętrznego, obsadzenie slotów PCI i gniazd pamięci, informację o maszynach wirtualnych, aktualne informacje o stanie i poziomie gwarancji, adresy IP kart sieciowych, występujących alertów, MAC adresów kart sieciowych, stanie poszczególnych komponentów serwera. </w:t>
            </w:r>
          </w:p>
          <w:p w14:paraId="65E1BB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tworzenia sprzętowej konfiguracji bazowej i na jej podstawie weryfikacji środowiska w celu wykrycia rozbieżności. </w:t>
            </w:r>
          </w:p>
          <w:p w14:paraId="1FD4D5A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Wdrażanie serwerów, rozwiązań modularnych oraz przełączników sieciowych w oparciu o profile </w:t>
            </w:r>
          </w:p>
          <w:p w14:paraId="43153A64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migracji ustawień serwera wraz z wirtualnymi adresami sieciowymi (MAC, WWN, IQN) między urządzeniami. </w:t>
            </w:r>
          </w:p>
          <w:p w14:paraId="206DD630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Tworzenie gotowych paczek informacji umożliwiających zdiagnozowanie awarii urządzenia przez serwis producenta. </w:t>
            </w:r>
          </w:p>
          <w:p w14:paraId="30BEAA5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Zdalne uruchamianie diagnostyki serwera. </w:t>
            </w:r>
          </w:p>
          <w:p w14:paraId="1D994FE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Dedykowana aplikacja na urządzenia mobilne integrująca się z wyżej opisanymi oprogramowaniem zarządzającym. </w:t>
            </w:r>
          </w:p>
          <w:p w14:paraId="1D9A2BC7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Oprogramowanie dostarczane jako wirtualny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appliance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dla KVM,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ESXi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i Hyper-V. </w:t>
            </w:r>
          </w:p>
        </w:tc>
      </w:tr>
      <w:tr w:rsidR="005B1BE2" w14:paraId="56C93433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6BF44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Certyfikaty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47F6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Serwer musi być wyprodukowany zgodnie z normą ISO-9001:2015, ISO-50001 oraz ISO-14001</w:t>
            </w:r>
          </w:p>
          <w:p w14:paraId="07676078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Serwer musi posiadać deklaracja CE</w:t>
            </w:r>
          </w:p>
          <w:p w14:paraId="23EC7FDC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Oferowane produkty muszą zawierać informacje dotyczące ponownego użycia i recyklingu, nie mogą zawierać farb i powłok na dużych plastikowych częściach, których nie da się poddać recyklingowi lub ponownie użyć. Wszystkie produkty zawierające podzespoły elektroniczne oraz niebezpieczne składniki powinny być bezpiecznie i łatwo identyfikowalne oraz usuwalne. Usunięcie materiałów i komponentów powinno odbywać się zgodnie z wymogami Dyrektywy WEEE 2002/96/EC. Produkty muszą składać się z co najmniej w 65% ze składników wielokrotnego użytku/zdatnych do recyklingu. We wszystkich produktach części tworzyw sztucznych większe niż 25-gramowe powinny zawierać nie więcej niż śladowe ilości środków zmniejszających palność sklasyfikowanych w dyrektywie RE 67/548/EEC. Potwierdzeniem spełnienia powyższego wymogu jest wydruk ze strony internetowej </w:t>
            </w:r>
            <w:hyperlink r:id="rId7" w:history="1">
              <w:r>
                <w:rPr>
                  <w:rStyle w:val="Hipercze"/>
                  <w:rFonts w:ascii="Tahoma" w:hAnsi="Tahoma" w:cs="Tahoma"/>
                  <w:sz w:val="20"/>
                  <w:szCs w:val="20"/>
                </w:rPr>
                <w:t>www.epeat.net</w:t>
              </w:r>
            </w:hyperlink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potwierdzający spełnienie normy co najmniej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Epeat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Bronze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według normy wprowadzonej w 2019 roku -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Wykonawca złoży dokument potwierdzający spełnianie wymogu.</w:t>
            </w:r>
          </w:p>
          <w:p w14:paraId="42F1F177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Oferowany serwer musi znajdować się na liście Windows Server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Catalog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i posiadać status „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Certified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for Windows” dla systemów Microsoft Windows Server 2016, Microsoft Windows Server 2019, Microsoft Windows Server 2022.</w:t>
            </w:r>
          </w:p>
        </w:tc>
      </w:tr>
      <w:tr w:rsidR="005B1BE2" w14:paraId="751141B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47DC9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Dokumentacja użytkownika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A927C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Zamawiający wymaga dokumentacji w języku polskim lub angi</w:t>
            </w:r>
            <w:r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>
              <w:rPr>
                <w:rFonts w:ascii="Tahoma" w:hAnsi="Tahoma" w:cs="Tahoma"/>
                <w:sz w:val="20"/>
                <w:szCs w:val="20"/>
              </w:rPr>
              <w:t>lskim.</w:t>
            </w:r>
          </w:p>
          <w:p w14:paraId="3F9292A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Możliwość telefonicznego sprawdzenia konfiguracji sprzętowej serwera oraz warunków gwarancji po podaniu numeru seryjnego bezpośrednio u producenta lub jego przedstawiciela.</w:t>
            </w:r>
          </w:p>
        </w:tc>
      </w:tr>
      <w:tr w:rsidR="005B1BE2" w14:paraId="53ADDCC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3385D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Warunki gwarancji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61FD4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Min. 36 miesięcy gwarancji producenta</w:t>
            </w:r>
          </w:p>
          <w:p w14:paraId="36DFCBE7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zgłaszania zdarzeń serwisowych w trybie 24/7/365 następującymi kanałami: telefonicznie, przez Internet oraz z wykorzystaniem aplikacji. </w:t>
            </w:r>
          </w:p>
          <w:p w14:paraId="429E262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rozpoczęcia diagnostyki telefonicznej / internetowej już w momencie dokonania zgłoszenia. Certyfikowany Technik wykonawcy / producenta z właściwym zestawem części do naprawy (potwierdzonym na etapie diagnostyki) ma rozpocząć naprawę w siedzibie zamawiającego najpóźniej w następnym dniu roboczym (NBD) od otrzymania zgłoszenia / zakończenia diagnostyki. Naprawa ma się odbywać w siedzibie zamawiającego, chyba, że zamawiający dla danej naprawy zgodzi się na inną formę.  </w:t>
            </w:r>
          </w:p>
          <w:p w14:paraId="48295EDC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Zamawiający oczekuje bezpośredniego dostępu do wykwalifikowanej kadry inżynierów technicznych a w przypadku konieczności eskalacji zgłoszenia serwisowego wyznaczonego Kierownika Eskalacji po stronie wykonawcy.</w:t>
            </w:r>
          </w:p>
          <w:p w14:paraId="7628F177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wymaga pojedynczego punktu kontaktu dla całego rozwiązania producenta, w tym także sprzedanego oprogramowania. </w:t>
            </w:r>
          </w:p>
          <w:p w14:paraId="1BC4506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Zgłoszenie przyjęte jest potwierdzane przez zespół pomocy technicznej (mail/telefon / aplikacja / portal) przez nadanie unikalnego numeru zgłoszenia pozwalającego na identyfikację zgłoszenia w trakcie realizacji naprawy i po jej zakończeniu.</w:t>
            </w:r>
          </w:p>
          <w:p w14:paraId="554C4D5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samodzielnego kwalifikowania poziomu ważności naprawy. </w:t>
            </w:r>
          </w:p>
          <w:p w14:paraId="6B3ED91E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Możliwość sprawdzenia statusu gwarancji poprzez stronę producenta podając unikatowy numer urządzenia oraz pobieranie uaktualnień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mikrokodu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oraz sterowników nawet w przypadku wygaśnięcia gwarancji serwera.</w:t>
            </w:r>
          </w:p>
          <w:p w14:paraId="651C32AE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nieodpłatnego udostępnienia narzędzi serwisowych i procesów wsparcia umożliwiających: Wykrywanie usterek sprzętowych z predykcją awarii. </w:t>
            </w:r>
          </w:p>
          <w:p w14:paraId="05D134E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Automatyczną diagnostykę i zdalne otwieranie zgłoszeń serwisowych.</w:t>
            </w:r>
          </w:p>
          <w:p w14:paraId="45E62BEC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4" w:name="_Hlk128483606"/>
            <w:r>
              <w:rPr>
                <w:rFonts w:ascii="Tahoma" w:hAnsi="Tahoma" w:cs="Tahoma"/>
                <w:sz w:val="20"/>
                <w:szCs w:val="20"/>
              </w:rPr>
              <w:t>Zamawiający wymaga od podmiotu realizującego serwis lub producenta sprzętu dołączenia do oferty oświadczenia, że w przypadku wystąpienia awarii dysku twardego w urządzeniu objętym aktywnym wparciem technicznym, uszkodzony dysk twardy pozostaje u Zamawiającego.</w:t>
            </w:r>
            <w:bookmarkEnd w:id="4"/>
          </w:p>
          <w:p w14:paraId="2A2FDF9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rozszerzenia gwarancji przez producenta do 7 lat.</w:t>
            </w:r>
          </w:p>
          <w:p w14:paraId="09A0878F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Firma serwisująca musi posiadać ISO 9001:2015 oraz ISO-27001 na świadczenie usług serwisowych oraz posiadać autoryzacje producenta urządzeń </w:t>
            </w:r>
          </w:p>
          <w:p w14:paraId="6E7D302B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5" w:name="_Hlk128483664"/>
            <w:r>
              <w:rPr>
                <w:rFonts w:ascii="Tahoma" w:hAnsi="Tahoma" w:cs="Tahoma"/>
                <w:sz w:val="20"/>
                <w:szCs w:val="20"/>
              </w:rPr>
              <w:t>Wymagane dołączenie do oferty dokumentów potwierdzających, że serwis urządzeń będzie realizowany bezpośrednio przez Producenta i/lub we współpracy z Autoryzowanym Partnerem Serwisowym Producenta.</w:t>
            </w:r>
            <w:bookmarkEnd w:id="5"/>
          </w:p>
        </w:tc>
      </w:tr>
      <w:tr w:rsidR="005B1BE2" w14:paraId="69FDC78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C95FD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Wymagania dodatkowe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2EBDF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 ramach dostawy systemu serwerowego Wykonawca dostarczy szafę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rackową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 wymiarach minimum 42U o głębokości i szerokości kompatybilnej z dostarczonym sprzętem serwerowym w ramach niniejszego zamówienia. </w:t>
            </w:r>
          </w:p>
          <w:p w14:paraId="78EF7F22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Dodatkowo w ramach zamówienia Wykonawca zobowiązany jest do wykonania następujących usług: </w:t>
            </w:r>
          </w:p>
          <w:p w14:paraId="16ED333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1) rekonfiguracja serwera:</w:t>
            </w:r>
          </w:p>
          <w:p w14:paraId="24D3769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Wykonawca stworzy plan wdrożenia polegający na wykonaniu schematów wdrażanej infrastruktury uwzględniający położenie Serwera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w szafie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zamawiającego. </w:t>
            </w:r>
          </w:p>
          <w:p w14:paraId="5F7A3B8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montażu w/w sprzętu w szafach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Zamawiającego w sposób zgodny z zaleceniami producenta dostarczanych serwerów. Prowadzenie kabli nie może powodować zaburzeń w cyrkulacji gorącego powietrza wydmuchiwanego z serwerów. </w:t>
            </w:r>
          </w:p>
          <w:p w14:paraId="6F498ED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·         Uruchomienie systemu operacyjnego wraz z aktualizacją do najnowszych wersji systemu operacyjnego oraz oprogramowania układowego serwera.</w:t>
            </w:r>
          </w:p>
          <w:p w14:paraId="73FAADAB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·         podłączenia Serwera do Przełącznika za pomocą właściwych kabli zapewniający bezawaryjną i ciągłą pracę w przypadku awarii jednej z kart sieciowych serwera</w:t>
            </w:r>
          </w:p>
          <w:p w14:paraId="72E55CD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testów niezawodności środowiska serwerowego poprzez odłączanie jednej ze ścieżki/wyłączanie urządzenia oraz test redundancji zasilania </w:t>
            </w:r>
          </w:p>
          <w:p w14:paraId="6427E80B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instalacji oprogramowania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na dostarczonym sprzęcie.  </w:t>
            </w:r>
          </w:p>
        </w:tc>
      </w:tr>
      <w:tr w:rsidR="005B1BE2" w14:paraId="5C7211F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CAEE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FCA55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1F2830EF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63EA127F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6" w:name="_Toc128483712"/>
      <w:bookmarkStart w:id="7" w:name="_Hlk129080676"/>
      <w:r>
        <w:rPr>
          <w:rFonts w:ascii="Tahoma" w:eastAsia="Tahoma" w:hAnsi="Tahoma" w:cs="Tahoma"/>
          <w:sz w:val="20"/>
          <w:szCs w:val="20"/>
        </w:rPr>
        <w:t>UPS</w:t>
      </w:r>
      <w:bookmarkEnd w:id="6"/>
    </w:p>
    <w:p w14:paraId="25D46B87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63B232BB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2DE844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9346AD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F2C645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EACFF9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DD5F204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15E6BB6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12160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A39D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Moc pozorna: min. 3000VA</w:t>
            </w:r>
          </w:p>
          <w:p w14:paraId="390AB2E5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Moc rzeczywista: min. 3000W</w:t>
            </w:r>
          </w:p>
          <w:p w14:paraId="6A7DCC56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Technologia: on-line (VFI), podwójna konwersja</w:t>
            </w:r>
          </w:p>
          <w:p w14:paraId="7714F494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Sprawność max (dla VFI): ˃ 90 %</w:t>
            </w:r>
          </w:p>
          <w:p w14:paraId="79F7BCD6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Typ obudowy: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rack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>/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tower</w:t>
            </w:r>
            <w:proofErr w:type="spellEnd"/>
          </w:p>
          <w:p w14:paraId="30144D50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Ilość wydzielanego ciepła dla nominalnych warunków pracy: &lt; 1200 BTU / h</w:t>
            </w:r>
          </w:p>
        </w:tc>
      </w:tr>
      <w:tr w:rsidR="005B1BE2" w14:paraId="552F264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F060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Praca sieciowa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6FE35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Napięcie wejściowe: 110 ÷ 300 V AC ± 5%</w:t>
            </w:r>
          </w:p>
          <w:p w14:paraId="3DD2EB8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Częstotliwość napięcia wejściowego: 50 / 60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Hz</w:t>
            </w:r>
            <w:proofErr w:type="spellEnd"/>
          </w:p>
          <w:p w14:paraId="5FA3782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Zakres napięcia wyjściowego: 208 V AC / 220 V AC / 230 V AC / 240 V AC ± 1 %</w:t>
            </w:r>
          </w:p>
          <w:p w14:paraId="1D46757F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Wartość napięcia wyjściowego ustawiana z panelu LCD: tak</w:t>
            </w:r>
          </w:p>
          <w:p w14:paraId="33165B7C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Kształt napięcia wyjściowego: sinusoidalny</w:t>
            </w:r>
          </w:p>
          <w:p w14:paraId="7BC06F6C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Czas przełączania sieć – UPS: 0ms</w:t>
            </w:r>
          </w:p>
          <w:p w14:paraId="207F7819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Współczynnik odkształceń prądu wejściowego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THDi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>: &lt; 10%</w:t>
            </w:r>
          </w:p>
        </w:tc>
      </w:tr>
      <w:tr w:rsidR="005B1BE2" w14:paraId="580FEAFB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71C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Praca bateryjna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575B3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Napięcie wyjściowe: ~230V</w:t>
            </w:r>
          </w:p>
          <w:p w14:paraId="6C81136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Częstotliwość napięcia wyjściowego: 50Hz/60Hz ± 0,5Hz</w:t>
            </w:r>
          </w:p>
          <w:p w14:paraId="2ED2BCF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Kształt napięcia wyjściowego na pracy bateryjnej: sinusoidalny</w:t>
            </w:r>
          </w:p>
          <w:p w14:paraId="65A880A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lastRenderedPageBreak/>
              <w:t>Zabezpieczenie przeciwzwarciowe gniazd wyjściowych: Bezpiecznik automatyczny 16 A</w:t>
            </w:r>
          </w:p>
          <w:p w14:paraId="0C5BC17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Zabezpieczenie przeciążeniowe: elektroniczne</w:t>
            </w:r>
          </w:p>
          <w:p w14:paraId="37189F7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Akumulatory wewnętrzne w UPS : minimum 12V 9Ah; szczelne, bezobsługowe</w:t>
            </w:r>
          </w:p>
          <w:p w14:paraId="46AA2711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Czas podtrzymania dla obciążenia 3kW - przy zastosowaniu baterii wewnętrznych lub zewnętrznych modułów bateryjnych : </w:t>
            </w:r>
            <w:r w:rsidRPr="00BD1B2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minimum 15 min</w:t>
            </w:r>
          </w:p>
          <w:p w14:paraId="08A98FAB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Czas ładowania baterii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wew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w UPS /w modułach bateryjnych (nie zależnie od ilości podłączonych modułów) - po 80% wyładowaniu baterii: do 3h</w:t>
            </w:r>
          </w:p>
          <w:p w14:paraId="6BF95A73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UPS / Moduły Bateryjne wyposażone w niezależne ładowanie z sieci: wymagane</w:t>
            </w:r>
          </w:p>
        </w:tc>
      </w:tr>
      <w:tr w:rsidR="005B1BE2" w14:paraId="5A3AE24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68D1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lastRenderedPageBreak/>
              <w:t>Pozostałe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00A3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Przeciążalność: 110 % ÷ 120 % = 60s, &gt;120 % = 100ms</w:t>
            </w:r>
          </w:p>
          <w:p w14:paraId="54A3DB6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Wejście zasilania: 1 x IEC 320 C20 (16 A)</w:t>
            </w:r>
          </w:p>
          <w:p w14:paraId="2D25FEE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Ilość i typ gniazd wyjściowych: min 8x IEC 320 C13 (10 A) + 1x IEC 320 C19 (16 A), z czego minimum 4 gniazda sterowalne</w:t>
            </w:r>
          </w:p>
          <w:p w14:paraId="25AFB124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Sygnalizacja: Wyświetlacz LCD</w:t>
            </w:r>
          </w:p>
          <w:p w14:paraId="602B7CC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Test baterii: wymagana możliwość uruchomienia testu baterii przyciskiem na obudowie zasilacza</w:t>
            </w:r>
          </w:p>
          <w:p w14:paraId="7F5EE22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podłączenia dodatkowych, zewnętrznych modułów bateryjnych: Wymagana możliwość podłączenia do 10 zewnętrznych modułów bateryjnych</w:t>
            </w:r>
          </w:p>
          <w:p w14:paraId="7617597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pracy w trybie konwertera częstotliwości: wymagane</w:t>
            </w:r>
          </w:p>
          <w:p w14:paraId="78D0464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Interfejs komunikacyjny: RS232, USB HID</w:t>
            </w:r>
          </w:p>
          <w:p w14:paraId="692605F6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Przewody: min 1szt USB + 2szt IEC 320 C13-C14 10A + 1szt IEC 320 C19-C20 16A</w:t>
            </w:r>
          </w:p>
          <w:p w14:paraId="72BF904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Wsporniki do montażu w szafie RACK: wymagane</w:t>
            </w:r>
          </w:p>
          <w:p w14:paraId="3A0F9CF6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Remote ON/OFF – możliwość zdalnego załączenia/wyłączenia zasilacza: wymagane</w:t>
            </w:r>
          </w:p>
          <w:p w14:paraId="04054BD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Złącze EPO: wymagane ustawienie NC</w:t>
            </w:r>
          </w:p>
        </w:tc>
      </w:tr>
      <w:tr w:rsidR="005B1BE2" w14:paraId="78BE24D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7849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Gwarancja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6D45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Minimum 24 miesiące na elektronikę i 24 miesiące na akumulatory;</w:t>
            </w:r>
          </w:p>
        </w:tc>
      </w:tr>
      <w:tr w:rsidR="005B1BE2" w14:paraId="2265A9B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82E4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Serwis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3986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Autoryzowany serwis producenta zlokalizowany w Polsce</w:t>
            </w:r>
          </w:p>
          <w:p w14:paraId="7469AB7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Naprawa w maksymalnie 5 dni roboczych</w:t>
            </w:r>
          </w:p>
          <w:p w14:paraId="14E4A39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Serwis realizowany w systemie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door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door</w:t>
            </w:r>
            <w:proofErr w:type="spellEnd"/>
          </w:p>
        </w:tc>
      </w:tr>
      <w:tr w:rsidR="005B1BE2" w14:paraId="67CF81E1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C5F45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Oprogramowanie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F9DBB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Oprogramowanie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w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języku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polskim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do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zarządzania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monitorowania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pracy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UPS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dla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Windows, Linux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oraz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systemów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wirtualizacji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VMware, Hyper-V, Citrix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XenServer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1F62C33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nadawania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unikalnych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nazw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dla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kilku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tych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samych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modeli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UPSów</w:t>
            </w:r>
            <w:proofErr w:type="spellEnd"/>
          </w:p>
          <w:p w14:paraId="2AE8A66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zarządzania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różnymi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UPSami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tego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samego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</w:p>
          <w:p w14:paraId="3A44431D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Wymagane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wsparcie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telefoniczne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oraz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mailowe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) w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języku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polskim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odnośnie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konfiguracji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rozwiązywania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problemów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5B1BE2" w14:paraId="397D430C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6867B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Certyfikaty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1EC2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ISO 9001:2015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dla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sprzętu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obejmujący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proces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projektowania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produkcji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serwisowania</w:t>
            </w:r>
            <w:proofErr w:type="spellEnd"/>
          </w:p>
          <w:p w14:paraId="70DE963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Deklaracja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CE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sprzętu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2634F52D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Oświadczenie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spełnieniu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minimlanych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wymaganych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parametrów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specyfikacji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dołączyć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do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oferty</w:t>
            </w:r>
            <w:proofErr w:type="spellEnd"/>
          </w:p>
          <w:p w14:paraId="58AE804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Karta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katalogowa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oferowanego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sprzętu</w:t>
            </w:r>
            <w:proofErr w:type="spellEnd"/>
          </w:p>
        </w:tc>
      </w:tr>
      <w:tr w:rsidR="005B1BE2" w14:paraId="6BEA606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1EFDD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DBB63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19804182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685DCACD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8" w:name="_Toc128483713"/>
      <w:bookmarkEnd w:id="7"/>
      <w:r>
        <w:rPr>
          <w:rFonts w:ascii="Tahoma" w:eastAsia="Tahoma" w:hAnsi="Tahoma" w:cs="Tahoma"/>
          <w:sz w:val="20"/>
          <w:szCs w:val="20"/>
        </w:rPr>
        <w:t>Przełącznik typ I</w:t>
      </w:r>
      <w:bookmarkEnd w:id="8"/>
    </w:p>
    <w:p w14:paraId="713A0B9D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0B660B56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DC6A8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54EF13C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D5D017" w14:textId="77777777" w:rsidR="005B1BE2" w:rsidRDefault="005B1BE2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F9D01A9" w14:textId="77777777" w:rsidR="005B1BE2" w:rsidRDefault="005B1BE2">
            <w:pPr>
              <w:ind w:left="406" w:hanging="425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15557B40" w14:textId="77777777" w:rsidR="005B1BE2" w:rsidRDefault="005B1BE2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4DA00BE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A7D9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D2638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Przełącznik sieciowy typ I</w:t>
            </w:r>
          </w:p>
        </w:tc>
      </w:tr>
      <w:tr w:rsidR="005B1BE2" w14:paraId="2672683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4B944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Parametry fizyczne platformy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42937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 xml:space="preserve">wymiary urządzenia powinny pozwalać na montaż w szafie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rack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19", obudowa nie powinna być wyższa niż 1U</w:t>
            </w:r>
          </w:p>
          <w:p w14:paraId="155DEFB6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bookmarkStart w:id="9" w:name="_Hlk128658528"/>
            <w:r>
              <w:rPr>
                <w:rFonts w:ascii="Tahoma" w:eastAsia="Tahoma" w:hAnsi="Tahoma" w:cs="Tahoma"/>
                <w:sz w:val="20"/>
                <w:szCs w:val="20"/>
              </w:rPr>
              <w:t xml:space="preserve">Zasilanie 230V, maksymalny pobór mocy </w:t>
            </w:r>
            <w:r w:rsidRPr="00BD1B2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27W</w:t>
            </w:r>
            <w:bookmarkEnd w:id="9"/>
          </w:p>
          <w:p w14:paraId="4FC1CC98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Redundantne zasilacze</w:t>
            </w:r>
          </w:p>
          <w:p w14:paraId="58D2B4E4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5B1BE2" w14:paraId="56F3831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4FA9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lastRenderedPageBreak/>
              <w:t>Interfejsy sieciowe – 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D7ECA" w14:textId="77777777" w:rsidR="005B1BE2" w:rsidRDefault="005B1BE2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24 porty GE, RJ-45</w:t>
            </w:r>
          </w:p>
          <w:p w14:paraId="2D55FDBA" w14:textId="77777777" w:rsidR="005B1BE2" w:rsidRDefault="005B1BE2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</w:t>
            </w:r>
          </w:p>
        </w:tc>
      </w:tr>
      <w:tr w:rsidR="005B1BE2" w14:paraId="1D932D5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8DDE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4B005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45C17AE5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2A947D2F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5B1BE2" w14:paraId="57EBBA8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E73F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28D2A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</w:r>
            <w:bookmarkStart w:id="10" w:name="_Hlk128658487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przepustowość urządzenia - min. 120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Gbps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190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BD1B26">
              <w:rPr>
                <w:rFonts w:ascii="Tahoma" w:hAnsi="Tahoma" w:cs="Tahoma"/>
                <w:bCs/>
                <w:sz w:val="20"/>
                <w:szCs w:val="20"/>
              </w:rPr>
              <w:t>Mpps</w:t>
            </w:r>
            <w:bookmarkEnd w:id="10"/>
            <w:proofErr w:type="spellEnd"/>
          </w:p>
          <w:p w14:paraId="141E48F8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możliwość zapamiętania co najmniej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32000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adresów MAC</w:t>
            </w:r>
          </w:p>
          <w:p w14:paraId="68E21B39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453B3E56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0CD340E9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DRAM: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512MB</w:t>
            </w:r>
          </w:p>
          <w:p w14:paraId="1F6DF20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FLASH: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64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</w:p>
        </w:tc>
      </w:tr>
      <w:tr w:rsidR="005B1BE2" w14:paraId="31C8C11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FDD22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32024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możliwość automatycznej negocjacji prędkości i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duplexu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połączeń</w:t>
            </w:r>
          </w:p>
          <w:p w14:paraId="1BE4E729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802.1d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802.1w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Rapid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802.1s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Multiple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3784E0D1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20, ilość portów w grupie: min. 8</w:t>
            </w:r>
          </w:p>
          <w:p w14:paraId="7FB1925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co najmniej 4000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VLANów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, zgodna z 802.1Q</w:t>
            </w:r>
          </w:p>
          <w:p w14:paraId="5A48A47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2FDB644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0EA36804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funkcjonalność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Relay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Dynamic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ARP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Inspection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IGMP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</w:p>
          <w:p w14:paraId="2DDA21F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2455E9A2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sFlow</w:t>
            </w:r>
            <w:proofErr w:type="spellEnd"/>
          </w:p>
          <w:p w14:paraId="0EF0AAB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41D2178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-chassis link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aggregation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33DD8935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based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możliwość uwierzytelniania w oparciu o bazę Radius</w:t>
            </w:r>
          </w:p>
          <w:p w14:paraId="54E5970F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06E10E5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Wsprarcie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SNTP oraz LLDP (w trybie odbioru)</w:t>
            </w:r>
          </w:p>
          <w:p w14:paraId="02F0DF8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6DBCEEEC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0426D79D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612A6099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5B1BE2" w14:paraId="2582017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59F8B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Gwarancja oraz wsparcie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69D2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0B285643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</w:t>
            </w:r>
          </w:p>
        </w:tc>
      </w:tr>
      <w:tr w:rsidR="005B1BE2" w14:paraId="45F6B183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DE8E7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Wymagania dodatkowe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C96C6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W ramach dostawy sprzętu Wykonawca zobowiązany jest także do przeprowadzenia wdrożenia dostarczanego przełącznika, które musi objąć zakres minimum:</w:t>
            </w:r>
          </w:p>
          <w:p w14:paraId="6F10EDE3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- fizyczny montaż i adresację</w:t>
            </w:r>
          </w:p>
          <w:p w14:paraId="77831400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- konfiguracje do 5 wirtualnych sieci (VLAN). </w:t>
            </w:r>
          </w:p>
          <w:p w14:paraId="7AA32B9F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- segmentację sieci z podziałem na sieć do zarządzania oraz sieć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Lan</w:t>
            </w:r>
            <w:proofErr w:type="spellEnd"/>
          </w:p>
          <w:p w14:paraId="60CD7B0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- wykonanie jednej spójnej dokumentacji sieci z wdrażanego urządzenia (urządzeń sieciowych) w ramach całego postępowania.</w:t>
            </w:r>
          </w:p>
        </w:tc>
      </w:tr>
      <w:tr w:rsidR="005B1BE2" w14:paraId="22D7B76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B7DF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EB236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color w:val="00B05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1 szt. </w:t>
            </w:r>
          </w:p>
        </w:tc>
      </w:tr>
    </w:tbl>
    <w:p w14:paraId="48A3D8F0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50C645F4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61768884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11" w:name="_Toc128483714"/>
      <w:r>
        <w:rPr>
          <w:rFonts w:ascii="Tahoma" w:eastAsia="Tahoma" w:hAnsi="Tahoma" w:cs="Tahoma"/>
          <w:sz w:val="20"/>
          <w:szCs w:val="20"/>
        </w:rPr>
        <w:t>Przełącznik typ II</w:t>
      </w:r>
      <w:bookmarkEnd w:id="11"/>
    </w:p>
    <w:p w14:paraId="1B6018DB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5DEACC30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A6486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16354049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EFFD53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8D61398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47BAA222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33AC808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8457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0C59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B1BE2" w14:paraId="63973AE4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CB9B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Parametry fizyczne platformy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CFA5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 xml:space="preserve">wymiary urządzenia powinny pozwalać na montaż w szafie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rack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19", obudowa nie powinna być wyższa niż 1U</w:t>
            </w:r>
          </w:p>
          <w:p w14:paraId="3F1DC92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Redundantne zasilanie 230V</w:t>
            </w:r>
          </w:p>
          <w:p w14:paraId="74BBCC3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5B1BE2" w14:paraId="5E907C1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B2B0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Interfejsy sieciowe – 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F4C9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48 porty GE, RJ-45</w:t>
            </w:r>
          </w:p>
          <w:p w14:paraId="46DB1A6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 (z obsługą wkładek 1GE)</w:t>
            </w:r>
          </w:p>
        </w:tc>
      </w:tr>
      <w:tr w:rsidR="005B1BE2" w14:paraId="52FB76FA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571AB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69BDD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546658F5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756F8984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5B1BE2" w14:paraId="67E6435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02F9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D5984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bookmarkStart w:id="12" w:name="_Hlk128658221"/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przepustowość urządzenia - min. 176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Gbps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, min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260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BD1B26">
              <w:rPr>
                <w:rFonts w:ascii="Tahoma" w:hAnsi="Tahoma" w:cs="Tahoma"/>
                <w:bCs/>
                <w:sz w:val="20"/>
                <w:szCs w:val="20"/>
              </w:rPr>
              <w:t>Mpps</w:t>
            </w:r>
            <w:proofErr w:type="spellEnd"/>
          </w:p>
          <w:p w14:paraId="515FEB41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możliwość zapamiętania co najmniej 32000 adresów MAC</w:t>
            </w:r>
          </w:p>
          <w:p w14:paraId="67D0EF55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557A7E19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57446656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DRAM: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512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</w:p>
          <w:p w14:paraId="7616E89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FLASH: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64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  <w:bookmarkEnd w:id="12"/>
          </w:p>
        </w:tc>
      </w:tr>
      <w:tr w:rsidR="005B1BE2" w14:paraId="2DA086B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7A4A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A0AE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możliwość automatycznej negocjacji prędkości i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duplexu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połączeń</w:t>
            </w:r>
          </w:p>
          <w:p w14:paraId="4D51053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802.1d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802.1w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Rapid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802.1s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Multiple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38425C9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26, ilość portów w grupie: min. 8</w:t>
            </w:r>
          </w:p>
          <w:p w14:paraId="64E6AA27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co najmniej 4000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VLANów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, zgodna z 802.1Q</w:t>
            </w:r>
          </w:p>
          <w:p w14:paraId="001A74D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1200E0FB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46C3A93E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funkcjonalność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Relay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Dynamic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ARP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Inspection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IGMP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</w:p>
          <w:p w14:paraId="5B40903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56EA429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sFlow</w:t>
            </w:r>
            <w:proofErr w:type="spellEnd"/>
          </w:p>
          <w:p w14:paraId="740A3B54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4792EB7E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-chassis link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aggregation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6A6122D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based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możliwość uwierzytelniania w oparciu o bazę Radius</w:t>
            </w:r>
          </w:p>
          <w:p w14:paraId="2B82FC7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5B1CDB1D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Wsprarcie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SNTP oraz LLDP (w trybie odbioru)</w:t>
            </w:r>
          </w:p>
          <w:p w14:paraId="7D0EDEF8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3E8CBE77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3873A423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476CA270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5B1BE2" w14:paraId="5AEA658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D072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Gwarancja oraz wsparcie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3F00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5368BDD1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446CB19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wadliwości.</w:t>
            </w:r>
          </w:p>
        </w:tc>
      </w:tr>
      <w:tr w:rsidR="005B1BE2" w14:paraId="7F7CC20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6F2F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2F924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2 szt. </w:t>
            </w:r>
          </w:p>
        </w:tc>
      </w:tr>
    </w:tbl>
    <w:p w14:paraId="702B77BA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4E9D12FB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13" w:name="_Toc128483715"/>
      <w:r>
        <w:rPr>
          <w:rFonts w:ascii="Tahoma" w:eastAsia="Tahoma" w:hAnsi="Tahoma" w:cs="Tahoma"/>
          <w:sz w:val="20"/>
          <w:szCs w:val="20"/>
        </w:rPr>
        <w:t>Urządzenie klasy UTM</w:t>
      </w:r>
      <w:bookmarkEnd w:id="13"/>
    </w:p>
    <w:p w14:paraId="7AEDFD20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6B0EA889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49B94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CA1466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1765EB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6ADA330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7E5A58D4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66757F7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82C9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A2BF8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Wznowienie serwisów dla posiadanych urządzeń</w:t>
            </w:r>
          </w:p>
        </w:tc>
      </w:tr>
      <w:tr w:rsidR="005B1BE2" w14:paraId="446BB185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8D9AB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3473F" w14:textId="77777777" w:rsidR="005B1BE2" w:rsidRPr="00BD1B26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W ramach dostawy przedmiotu zamówienia Wykonawca dostarczy aktualizację </w:t>
            </w:r>
            <w:bookmarkStart w:id="14" w:name="_GoBack"/>
            <w:r w:rsidRPr="00BD1B26">
              <w:rPr>
                <w:rFonts w:ascii="Tahoma" w:eastAsia="Tahoma" w:hAnsi="Tahoma" w:cs="Tahoma"/>
                <w:sz w:val="20"/>
                <w:szCs w:val="20"/>
              </w:rPr>
              <w:t xml:space="preserve">serwisów dla posiadanego urządzenia </w:t>
            </w:r>
            <w:proofErr w:type="spellStart"/>
            <w:r w:rsidRPr="00BD1B26">
              <w:rPr>
                <w:rFonts w:ascii="Tahoma" w:eastAsia="Tahoma" w:hAnsi="Tahoma" w:cs="Tahoma"/>
                <w:sz w:val="20"/>
                <w:szCs w:val="20"/>
              </w:rPr>
              <w:t>Fortigate</w:t>
            </w:r>
            <w:proofErr w:type="spellEnd"/>
            <w:r w:rsidRPr="00BD1B26">
              <w:rPr>
                <w:rFonts w:ascii="Tahoma" w:eastAsia="Tahoma" w:hAnsi="Tahoma" w:cs="Tahoma"/>
                <w:sz w:val="20"/>
                <w:szCs w:val="20"/>
              </w:rPr>
              <w:t xml:space="preserve"> 100E o numerze seryjnym: </w:t>
            </w:r>
          </w:p>
          <w:p w14:paraId="24C0F25D" w14:textId="77777777" w:rsidR="005B1BE2" w:rsidRPr="00BD1B26" w:rsidRDefault="005B1BE2" w:rsidP="005B1BE2">
            <w:pPr>
              <w:pStyle w:val="Akapitzlist"/>
              <w:numPr>
                <w:ilvl w:val="0"/>
                <w:numId w:val="42"/>
              </w:numPr>
              <w:rPr>
                <w:rFonts w:ascii="Tahoma" w:eastAsia="Tahoma" w:hAnsi="Tahoma" w:cs="Tahoma"/>
                <w:sz w:val="20"/>
                <w:szCs w:val="20"/>
              </w:rPr>
            </w:pPr>
            <w:bookmarkStart w:id="15" w:name="_Hlk128658125"/>
            <w:r w:rsidRPr="00BD1B26">
              <w:rPr>
                <w:rFonts w:ascii="Tahoma" w:eastAsia="Tahoma" w:hAnsi="Tahoma" w:cs="Tahoma"/>
                <w:sz w:val="20"/>
                <w:szCs w:val="20"/>
              </w:rPr>
              <w:t>FG100ETK20019568</w:t>
            </w:r>
            <w:bookmarkEnd w:id="15"/>
          </w:p>
          <w:bookmarkEnd w:id="14"/>
          <w:p w14:paraId="191E8F49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na min. 12 miesięcy w zakresie obejmującym minimum: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Unified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Threat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Protection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(UTP) (IPS, Advanced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Malware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Protection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, Application Control, URL, DNS &amp; Video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Filtering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Antispam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Service, and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FortiCare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Premium)</w:t>
            </w:r>
          </w:p>
        </w:tc>
      </w:tr>
      <w:tr w:rsidR="005B1BE2" w14:paraId="31F24E7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61886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7CB63" w14:textId="77777777" w:rsidR="005B1BE2" w:rsidRDefault="005B1BE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2 szt.  </w:t>
            </w:r>
          </w:p>
        </w:tc>
      </w:tr>
    </w:tbl>
    <w:p w14:paraId="121B7FFA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28EBCA21" w14:textId="31BF73CE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18CA6E12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0000050F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16" w:name="_Toc128483717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Wymagania dodatkowe</w:t>
      </w:r>
      <w:bookmarkEnd w:id="16"/>
    </w:p>
    <w:p w14:paraId="000005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511" w14:textId="77777777" w:rsidR="002A3A8B" w:rsidRPr="00593D41" w:rsidRDefault="003E2AA1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tag w:val="goog_rdk_19"/>
          <w:id w:val="2015184430"/>
        </w:sdtPr>
        <w:sdtEndPr/>
        <w:sdtContent/>
      </w:sdt>
      <w:r w:rsidR="00935354" w:rsidRPr="00593D41">
        <w:rPr>
          <w:rFonts w:ascii="Tahoma" w:eastAsia="Tahoma" w:hAnsi="Tahoma" w:cs="Tahoma"/>
          <w:sz w:val="20"/>
          <w:szCs w:val="20"/>
        </w:rPr>
        <w:t xml:space="preserve">W ramach realizacji przedmiotu zamówienia, Wykonawca zobowiązany jest do dostawy przedmiotu zamówienia wraz z jego rozpakowaniem, sprawdzeniem poprawności działania i ustawieniem w wyznaczonym przez Zamawiającego pomieszczeniu na terenie Urzędu.  </w:t>
      </w:r>
    </w:p>
    <w:p w14:paraId="00000512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3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do utylizacji na własny koszt wszelkich niepotrzebnych materiałów zabezpieczających urządzenia podczas transportu, w tym kartony, folie, taśmy klejące etc. </w:t>
      </w:r>
    </w:p>
    <w:p w14:paraId="00000514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5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jest do ustalenia terminów dostaw z Zamawiającym, we wskazanym przez niego miejscu, z uwzględnieniem charakteru pracy Urzędu. </w:t>
      </w:r>
    </w:p>
    <w:sectPr w:rsidR="002A3A8B" w:rsidRPr="00593D41">
      <w:headerReference w:type="default" r:id="rId8"/>
      <w:footerReference w:type="default" r:id="rId9"/>
      <w:pgSz w:w="11906" w:h="16838"/>
      <w:pgMar w:top="1276" w:right="991" w:bottom="1418" w:left="1134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37739" w14:textId="77777777" w:rsidR="003E2AA1" w:rsidRDefault="003E2AA1">
      <w:r>
        <w:separator/>
      </w:r>
    </w:p>
  </w:endnote>
  <w:endnote w:type="continuationSeparator" w:id="0">
    <w:p w14:paraId="04FD9EF1" w14:textId="77777777" w:rsidR="003E2AA1" w:rsidRDefault="003E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variable"/>
    <w:sig w:usb0="00000003" w:usb1="0200E4B4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7" w14:textId="77777777" w:rsidR="002021A4" w:rsidRDefault="002021A4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rFonts w:ascii="Arial Narrow" w:eastAsia="Arial Narrow" w:hAnsi="Arial Narrow" w:cs="Arial Narrow"/>
        <w:color w:val="000000"/>
        <w:sz w:val="16"/>
        <w:szCs w:val="16"/>
      </w:rPr>
    </w:pPr>
  </w:p>
  <w:p w14:paraId="00000518" w14:textId="4C52041E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14:paraId="00000519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14:paraId="0000051A" w14:textId="2CD1EFBF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D1B26">
      <w:rPr>
        <w:noProof/>
        <w:color w:val="000000"/>
      </w:rPr>
      <w:t>12</w:t>
    </w:r>
    <w:r>
      <w:rPr>
        <w:color w:val="000000"/>
      </w:rPr>
      <w:fldChar w:fldCharType="end"/>
    </w:r>
  </w:p>
  <w:p w14:paraId="0000051B" w14:textId="77777777" w:rsidR="002021A4" w:rsidRDefault="002021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A1E01F" w14:textId="77777777" w:rsidR="003E2AA1" w:rsidRDefault="003E2AA1">
      <w:r>
        <w:separator/>
      </w:r>
    </w:p>
  </w:footnote>
  <w:footnote w:type="continuationSeparator" w:id="0">
    <w:p w14:paraId="0F522D13" w14:textId="77777777" w:rsidR="003E2AA1" w:rsidRDefault="003E2A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6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firstLine="284"/>
      <w:jc w:val="center"/>
      <w:rPr>
        <w:color w:val="000000"/>
      </w:rPr>
    </w:pPr>
    <w:r>
      <w:rPr>
        <w:noProof/>
      </w:rPr>
      <w:drawing>
        <wp:inline distT="0" distB="0" distL="0" distR="0" wp14:anchorId="7EBA67C0" wp14:editId="502B21F7">
          <wp:extent cx="6210935" cy="75946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935" cy="759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4159"/>
    <w:multiLevelType w:val="multilevel"/>
    <w:tmpl w:val="7C6E29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B30D3E"/>
    <w:multiLevelType w:val="multilevel"/>
    <w:tmpl w:val="5AEC854E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C4BAB"/>
    <w:multiLevelType w:val="multilevel"/>
    <w:tmpl w:val="5C3280EC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5BA664E"/>
    <w:multiLevelType w:val="multilevel"/>
    <w:tmpl w:val="342E3C66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440" w:hanging="6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4C45826"/>
    <w:multiLevelType w:val="multilevel"/>
    <w:tmpl w:val="C428C2C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7977B2"/>
    <w:multiLevelType w:val="multilevel"/>
    <w:tmpl w:val="608C64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85064C"/>
    <w:multiLevelType w:val="hybridMultilevel"/>
    <w:tmpl w:val="9C808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80A3D"/>
    <w:multiLevelType w:val="multilevel"/>
    <w:tmpl w:val="06565E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2C77FE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68A2778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88D6A01"/>
    <w:multiLevelType w:val="multilevel"/>
    <w:tmpl w:val="FED86C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C4E5C01"/>
    <w:multiLevelType w:val="multilevel"/>
    <w:tmpl w:val="A4304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A24C1"/>
    <w:multiLevelType w:val="hybridMultilevel"/>
    <w:tmpl w:val="5524B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816C8"/>
    <w:multiLevelType w:val="multilevel"/>
    <w:tmpl w:val="6100D05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0D51913"/>
    <w:multiLevelType w:val="hybridMultilevel"/>
    <w:tmpl w:val="3A9E3FE0"/>
    <w:lvl w:ilvl="0" w:tplc="04150001">
      <w:start w:val="1"/>
      <w:numFmt w:val="bullet"/>
      <w:lvlText w:val=""/>
      <w:lvlJc w:val="left"/>
      <w:pPr>
        <w:tabs>
          <w:tab w:val="num" w:pos="649"/>
        </w:tabs>
        <w:ind w:left="64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3F7420"/>
    <w:multiLevelType w:val="multilevel"/>
    <w:tmpl w:val="7E723CC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86B31CF"/>
    <w:multiLevelType w:val="hybridMultilevel"/>
    <w:tmpl w:val="2A765D56"/>
    <w:lvl w:ilvl="0" w:tplc="0826F10C">
      <w:start w:val="1"/>
      <w:numFmt w:val="bullet"/>
      <w:lvlText w:val="-"/>
      <w:lvlJc w:val="left"/>
      <w:pPr>
        <w:ind w:left="291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8" w15:restartNumberingAfterBreak="0">
    <w:nsid w:val="3A564223"/>
    <w:multiLevelType w:val="multilevel"/>
    <w:tmpl w:val="D66475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E24D58"/>
    <w:multiLevelType w:val="multilevel"/>
    <w:tmpl w:val="D788141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C45CE"/>
    <w:multiLevelType w:val="multilevel"/>
    <w:tmpl w:val="522499F6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C9C52C5"/>
    <w:multiLevelType w:val="multilevel"/>
    <w:tmpl w:val="45FC222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DF44297"/>
    <w:multiLevelType w:val="multilevel"/>
    <w:tmpl w:val="BAD878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F621CB2"/>
    <w:multiLevelType w:val="multilevel"/>
    <w:tmpl w:val="0C125BF2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45F075D"/>
    <w:multiLevelType w:val="multilevel"/>
    <w:tmpl w:val="61B267A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B3D0469"/>
    <w:multiLevelType w:val="multilevel"/>
    <w:tmpl w:val="D1D202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68E25FA"/>
    <w:multiLevelType w:val="multilevel"/>
    <w:tmpl w:val="289C60EE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04DFB"/>
    <w:multiLevelType w:val="hybridMultilevel"/>
    <w:tmpl w:val="BA40A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94CFC"/>
    <w:multiLevelType w:val="multilevel"/>
    <w:tmpl w:val="5D8418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C4E45"/>
    <w:multiLevelType w:val="multilevel"/>
    <w:tmpl w:val="FD3C96D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DF8700E"/>
    <w:multiLevelType w:val="hybridMultilevel"/>
    <w:tmpl w:val="20A47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9"/>
  </w:num>
  <w:num w:numId="6">
    <w:abstractNumId w:val="30"/>
  </w:num>
  <w:num w:numId="7">
    <w:abstractNumId w:val="24"/>
  </w:num>
  <w:num w:numId="8">
    <w:abstractNumId w:val="21"/>
  </w:num>
  <w:num w:numId="9">
    <w:abstractNumId w:val="0"/>
  </w:num>
  <w:num w:numId="10">
    <w:abstractNumId w:val="4"/>
  </w:num>
  <w:num w:numId="11">
    <w:abstractNumId w:val="23"/>
  </w:num>
  <w:num w:numId="12">
    <w:abstractNumId w:val="3"/>
  </w:num>
  <w:num w:numId="13">
    <w:abstractNumId w:val="18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5"/>
  </w:num>
  <w:num w:numId="19">
    <w:abstractNumId w:val="8"/>
  </w:num>
  <w:num w:numId="20">
    <w:abstractNumId w:val="33"/>
  </w:num>
  <w:num w:numId="21">
    <w:abstractNumId w:val="11"/>
  </w:num>
  <w:num w:numId="22">
    <w:abstractNumId w:val="25"/>
  </w:num>
  <w:num w:numId="23">
    <w:abstractNumId w:val="22"/>
  </w:num>
  <w:num w:numId="24">
    <w:abstractNumId w:val="6"/>
  </w:num>
  <w:num w:numId="25">
    <w:abstractNumId w:val="10"/>
  </w:num>
  <w:num w:numId="26">
    <w:abstractNumId w:val="12"/>
  </w:num>
  <w:num w:numId="27">
    <w:abstractNumId w:val="32"/>
  </w:num>
  <w:num w:numId="28">
    <w:abstractNumId w:val="28"/>
  </w:num>
  <w:num w:numId="29">
    <w:abstractNumId w:val="20"/>
  </w:num>
  <w:num w:numId="30">
    <w:abstractNumId w:val="31"/>
  </w:num>
  <w:num w:numId="31">
    <w:abstractNumId w:val="15"/>
  </w:num>
  <w:num w:numId="32">
    <w:abstractNumId w:val="29"/>
  </w:num>
  <w:num w:numId="33">
    <w:abstractNumId w:val="7"/>
  </w:num>
  <w:num w:numId="34">
    <w:abstractNumId w:val="13"/>
  </w:num>
  <w:num w:numId="35">
    <w:abstractNumId w:val="34"/>
  </w:num>
  <w:num w:numId="36">
    <w:abstractNumId w:val="2"/>
  </w:num>
  <w:num w:numId="37">
    <w:abstractNumId w:val="32"/>
  </w:num>
  <w:num w:numId="38">
    <w:abstractNumId w:val="28"/>
  </w:num>
  <w:num w:numId="39">
    <w:abstractNumId w:val="20"/>
  </w:num>
  <w:num w:numId="40">
    <w:abstractNumId w:val="31"/>
  </w:num>
  <w:num w:numId="41">
    <w:abstractNumId w:val="0"/>
  </w:num>
  <w:num w:numId="42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8B"/>
    <w:rsid w:val="00053085"/>
    <w:rsid w:val="00091FA0"/>
    <w:rsid w:val="000E417B"/>
    <w:rsid w:val="000F3052"/>
    <w:rsid w:val="000F61DD"/>
    <w:rsid w:val="00180733"/>
    <w:rsid w:val="001C7B2A"/>
    <w:rsid w:val="002021A4"/>
    <w:rsid w:val="00233F1A"/>
    <w:rsid w:val="002900EE"/>
    <w:rsid w:val="002A3A8B"/>
    <w:rsid w:val="002F4128"/>
    <w:rsid w:val="0033120E"/>
    <w:rsid w:val="003E2AA1"/>
    <w:rsid w:val="004905FA"/>
    <w:rsid w:val="0050082D"/>
    <w:rsid w:val="00552F6D"/>
    <w:rsid w:val="00566A46"/>
    <w:rsid w:val="00593D41"/>
    <w:rsid w:val="005B1915"/>
    <w:rsid w:val="005B1BE2"/>
    <w:rsid w:val="005C682A"/>
    <w:rsid w:val="00621574"/>
    <w:rsid w:val="006C7795"/>
    <w:rsid w:val="00731490"/>
    <w:rsid w:val="007B4E1C"/>
    <w:rsid w:val="00935354"/>
    <w:rsid w:val="009B2BD4"/>
    <w:rsid w:val="009D35C8"/>
    <w:rsid w:val="00A717FD"/>
    <w:rsid w:val="00B63F35"/>
    <w:rsid w:val="00BD1B26"/>
    <w:rsid w:val="00BF4285"/>
    <w:rsid w:val="00C2667C"/>
    <w:rsid w:val="00C270FD"/>
    <w:rsid w:val="00C54F0C"/>
    <w:rsid w:val="00D05F1A"/>
    <w:rsid w:val="00D60883"/>
    <w:rsid w:val="00D95A5F"/>
    <w:rsid w:val="00DA2A28"/>
    <w:rsid w:val="00DB3372"/>
    <w:rsid w:val="00E10495"/>
    <w:rsid w:val="00E1375B"/>
    <w:rsid w:val="00E32091"/>
    <w:rsid w:val="00E418C7"/>
    <w:rsid w:val="00EC499D"/>
    <w:rsid w:val="00EC5FDC"/>
    <w:rsid w:val="00F7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3C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4150"/>
  </w:style>
  <w:style w:type="paragraph" w:styleId="Nagwek1">
    <w:name w:val="heading 1"/>
    <w:basedOn w:val="Normalny"/>
    <w:next w:val="Normalny"/>
    <w:link w:val="Nagwek1Znak"/>
    <w:uiPriority w:val="9"/>
    <w:qFormat/>
    <w:rsid w:val="002F0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327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91ABC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F0F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F0F7F"/>
    <w:pPr>
      <w:outlineLvl w:val="9"/>
    </w:p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2F0F7F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unhideWhenUsed/>
    <w:rsid w:val="00494611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right" w:leader="dot" w:pos="8656"/>
      </w:tabs>
      <w:suppressAutoHyphens/>
      <w:spacing w:after="100" w:line="276" w:lineRule="auto"/>
    </w:pPr>
    <w:rPr>
      <w:b/>
      <w:bCs/>
    </w:rPr>
  </w:style>
  <w:style w:type="paragraph" w:styleId="Spistreci2">
    <w:name w:val="toc 2"/>
    <w:basedOn w:val="Normalny"/>
    <w:next w:val="Normalny"/>
    <w:autoRedefine/>
    <w:uiPriority w:val="39"/>
    <w:unhideWhenUsed/>
    <w:rsid w:val="002F0F7F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2F0F7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2F0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0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0F7F"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F0F7F"/>
    <w:rPr>
      <w:b/>
      <w:bCs/>
    </w:rPr>
  </w:style>
  <w:style w:type="character" w:customStyle="1" w:styleId="apple-converted-space">
    <w:name w:val="apple-converted-space"/>
    <w:basedOn w:val="Domylnaczcionkaakapitu"/>
    <w:rsid w:val="002F0F7F"/>
  </w:style>
  <w:style w:type="paragraph" w:styleId="Tekstdymka">
    <w:name w:val="Balloon Text"/>
    <w:basedOn w:val="Normalny"/>
    <w:link w:val="TekstdymkaZnak"/>
    <w:uiPriority w:val="99"/>
    <w:semiHidden/>
    <w:unhideWhenUsed/>
    <w:rsid w:val="002F0F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F7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0F7F"/>
  </w:style>
  <w:style w:type="paragraph" w:styleId="Stopka">
    <w:name w:val="footer"/>
    <w:basedOn w:val="Normalny"/>
    <w:link w:val="Stopka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F7F"/>
  </w:style>
  <w:style w:type="table" w:styleId="Tabela-Siatka">
    <w:name w:val="Table Grid"/>
    <w:basedOn w:val="Standardowy"/>
    <w:uiPriority w:val="59"/>
    <w:rsid w:val="002F0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2F0F7F"/>
    <w:pPr>
      <w:spacing w:line="192" w:lineRule="auto"/>
      <w:ind w:right="-285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F0F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F0F7F"/>
    <w:pPr>
      <w:spacing w:before="100" w:beforeAutospacing="1" w:after="100" w:afterAutospacing="1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0F7F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0F7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0F7F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0F7F"/>
    <w:rPr>
      <w:b/>
      <w:bCs/>
    </w:rPr>
  </w:style>
  <w:style w:type="paragraph" w:styleId="Bezodstpw">
    <w:name w:val="No Spacing"/>
    <w:link w:val="BezodstpwZnak"/>
    <w:uiPriority w:val="1"/>
    <w:qFormat/>
    <w:rsid w:val="002F0F7F"/>
  </w:style>
  <w:style w:type="character" w:customStyle="1" w:styleId="Nagwek2Znak">
    <w:name w:val="Nagłówek 2 Znak"/>
    <w:basedOn w:val="Domylnaczcionkaakapitu"/>
    <w:link w:val="Nagwek2"/>
    <w:uiPriority w:val="9"/>
    <w:rsid w:val="00EB3279"/>
    <w:rPr>
      <w:rFonts w:ascii="Times New Roman" w:eastAsiaTheme="majorEastAsia" w:hAnsi="Times New Roman" w:cstheme="majorBidi"/>
      <w:color w:val="2E74B5" w:themeColor="accent1" w:themeShade="BF"/>
      <w:sz w:val="24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064A22"/>
    <w:rPr>
      <w:color w:val="954F72" w:themeColor="followedHyperlink"/>
      <w:u w:val="single"/>
    </w:rPr>
  </w:style>
  <w:style w:type="paragraph" w:customStyle="1" w:styleId="p1">
    <w:name w:val="p1"/>
    <w:basedOn w:val="Normalny"/>
    <w:rsid w:val="007E5B66"/>
    <w:rPr>
      <w:rFonts w:ascii="Symbol" w:hAnsi="Symbol"/>
      <w:sz w:val="18"/>
      <w:szCs w:val="18"/>
    </w:rPr>
  </w:style>
  <w:style w:type="paragraph" w:customStyle="1" w:styleId="p2">
    <w:name w:val="p2"/>
    <w:basedOn w:val="Normalny"/>
    <w:rsid w:val="007E5B66"/>
    <w:rPr>
      <w:rFonts w:ascii="Arial" w:hAnsi="Arial" w:cs="Arial"/>
      <w:sz w:val="17"/>
      <w:szCs w:val="17"/>
    </w:rPr>
  </w:style>
  <w:style w:type="character" w:customStyle="1" w:styleId="s1">
    <w:name w:val="s1"/>
    <w:basedOn w:val="Domylnaczcionkaakapitu"/>
    <w:rsid w:val="007E5B66"/>
    <w:rPr>
      <w:rFonts w:ascii="Symbol" w:hAnsi="Symbol" w:hint="default"/>
      <w:sz w:val="17"/>
      <w:szCs w:val="17"/>
    </w:rPr>
  </w:style>
  <w:style w:type="character" w:customStyle="1" w:styleId="TytuZnak">
    <w:name w:val="Tytuł Znak"/>
    <w:basedOn w:val="Domylnaczcionkaakapitu"/>
    <w:link w:val="Tytu"/>
    <w:uiPriority w:val="10"/>
    <w:rsid w:val="00F91AB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paragraph" w:customStyle="1" w:styleId="Default">
    <w:name w:val="Default"/>
    <w:rsid w:val="004279F9"/>
    <w:pPr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character" w:customStyle="1" w:styleId="BezodstpwZnak">
    <w:name w:val="Bez odstępów Znak"/>
    <w:link w:val="Bezodstpw"/>
    <w:uiPriority w:val="99"/>
    <w:locked/>
    <w:rsid w:val="004279F9"/>
  </w:style>
  <w:style w:type="paragraph" w:customStyle="1" w:styleId="Tre">
    <w:name w:val="Treść"/>
    <w:rsid w:val="00785C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  <w:style w:type="paragraph" w:styleId="Tekstpodstawowy2">
    <w:name w:val="Body Text 2"/>
    <w:basedOn w:val="Normalny"/>
    <w:link w:val="Tekstpodstawowy2Znak"/>
    <w:rsid w:val="004A2B79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4A2B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Brak">
    <w:name w:val="Brak"/>
    <w:rsid w:val="00E63ED4"/>
  </w:style>
  <w:style w:type="character" w:customStyle="1" w:styleId="Hyperlink0">
    <w:name w:val="Hyperlink.0"/>
    <w:basedOn w:val="Brak"/>
    <w:rsid w:val="00E63ED4"/>
    <w:rPr>
      <w:outline w:val="0"/>
      <w:color w:val="0000FF"/>
      <w:u w:val="single" w:color="0000FF"/>
    </w:rPr>
  </w:style>
  <w:style w:type="paragraph" w:customStyle="1" w:styleId="Domylne">
    <w:name w:val="Domyślne"/>
    <w:rsid w:val="00E63E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BE8"/>
    <w:rPr>
      <w:vertAlign w:val="superscript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A87C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3A09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pointnormal">
    <w:name w:val="point_normal"/>
    <w:basedOn w:val="Domylnaczcionkaakapitu"/>
    <w:rsid w:val="00C2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pea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3542</Words>
  <Characters>21254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2023-04-20T06:48:00Z</dcterms:created>
  <dcterms:modified xsi:type="dcterms:W3CDTF">2023-04-20T07:03:00Z</dcterms:modified>
</cp:coreProperties>
</file>