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54C3E">
        <w:rPr>
          <w:rFonts w:ascii="Arial" w:hAnsi="Arial" w:cs="Arial"/>
          <w:b/>
          <w:bCs/>
          <w:sz w:val="24"/>
          <w:szCs w:val="24"/>
        </w:rPr>
        <w:t>Załącznik nr 3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54C3E">
        <w:rPr>
          <w:rFonts w:ascii="Arial" w:hAnsi="Arial" w:cs="Arial"/>
          <w:b/>
          <w:bCs/>
          <w:sz w:val="24"/>
          <w:szCs w:val="24"/>
        </w:rPr>
        <w:t>Uchwały Nr XXXII/285/2017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54C3E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54C3E">
        <w:rPr>
          <w:rFonts w:ascii="Arial" w:hAnsi="Arial" w:cs="Arial"/>
          <w:b/>
          <w:bCs/>
          <w:sz w:val="24"/>
          <w:szCs w:val="24"/>
        </w:rPr>
        <w:t>z dnia 14 września 2017 roku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4C3E">
        <w:rPr>
          <w:rFonts w:ascii="Arial" w:hAnsi="Arial" w:cs="Arial"/>
          <w:b/>
          <w:bCs/>
          <w:sz w:val="24"/>
          <w:szCs w:val="24"/>
        </w:rPr>
        <w:t>Objaśnienia do uchwały w sprawie uchwalenia Wieloletniej Prognozy Finansowej Gminy Skąpe na lata 2017 - 2027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54C3E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2017</w:t>
      </w:r>
      <w:r w:rsidRPr="00E54C3E">
        <w:rPr>
          <w:rFonts w:ascii="Arial" w:hAnsi="Arial" w:cs="Arial"/>
          <w:color w:val="000000"/>
          <w:sz w:val="24"/>
          <w:szCs w:val="24"/>
        </w:rPr>
        <w:br/>
        <w:t>oraz planami na kolejne lata.</w:t>
      </w:r>
    </w:p>
    <w:p w:rsidR="00E54C3E" w:rsidRPr="00E54C3E" w:rsidRDefault="00E54C3E" w:rsidP="00E54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54C3E">
        <w:rPr>
          <w:rFonts w:ascii="Arial" w:hAnsi="Arial" w:cs="Arial"/>
          <w:color w:val="000000"/>
          <w:sz w:val="24"/>
          <w:szCs w:val="24"/>
        </w:rPr>
        <w:t>Zaktualizowano załącznik nr 3 w zakresie realizowanych przedsięwzięć.</w:t>
      </w: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54C3E">
        <w:rPr>
          <w:rFonts w:ascii="Arial" w:hAnsi="Arial" w:cs="Arial"/>
          <w:color w:val="000000"/>
          <w:sz w:val="24"/>
          <w:szCs w:val="24"/>
        </w:rPr>
        <w:t xml:space="preserve">W szczególności dodano zadanie pn. "Przebudowa drogi nr 004814F (ul. Chrobrego) w m. Ołobok - etap I </w:t>
      </w:r>
      <w:proofErr w:type="spellStart"/>
      <w:r w:rsidRPr="00E54C3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E54C3E">
        <w:rPr>
          <w:rFonts w:ascii="Arial" w:hAnsi="Arial" w:cs="Arial"/>
          <w:color w:val="000000"/>
          <w:sz w:val="24"/>
          <w:szCs w:val="24"/>
        </w:rPr>
        <w:t xml:space="preserve"> II". Limit na to zadanie wynosi 15.000,00zł w 2017 roku</w:t>
      </w:r>
      <w:r w:rsidRPr="00E54C3E">
        <w:rPr>
          <w:rFonts w:ascii="Arial" w:hAnsi="Arial" w:cs="Arial"/>
          <w:color w:val="000000"/>
          <w:sz w:val="24"/>
          <w:szCs w:val="24"/>
        </w:rPr>
        <w:br/>
        <w:t>oraz 990.000,00zł w 2018 roku.</w:t>
      </w: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54C3E">
        <w:rPr>
          <w:rFonts w:ascii="Arial" w:hAnsi="Arial" w:cs="Arial"/>
          <w:color w:val="000000"/>
          <w:sz w:val="24"/>
          <w:szCs w:val="24"/>
        </w:rPr>
        <w:t>Zwiększono limit wydatków na zadanie pn. "Rozbudowa budynku OSP w Podłej Górze o dodatkowe stanowisko garażowe". Po zmianach limit wynosi 155.000,00zł w 2017 roku, a łączne nakłady wynoszą 159.000,00.</w:t>
      </w: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54C3E">
        <w:rPr>
          <w:rFonts w:ascii="Arial" w:hAnsi="Arial" w:cs="Arial"/>
          <w:color w:val="000000"/>
          <w:sz w:val="24"/>
          <w:szCs w:val="24"/>
        </w:rPr>
        <w:tab/>
      </w: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54C3E" w:rsidRPr="00E54C3E" w:rsidRDefault="00E54C3E" w:rsidP="00E54C3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37358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B2"/>
    <w:rsid w:val="000A50B2"/>
    <w:rsid w:val="003261E2"/>
    <w:rsid w:val="00546076"/>
    <w:rsid w:val="007D07F4"/>
    <w:rsid w:val="008F2303"/>
    <w:rsid w:val="00CC44E7"/>
    <w:rsid w:val="00E5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CE21F-0FD9-4FCB-ABD4-AF246934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2017-09-15T07:10:00Z</dcterms:created>
  <dcterms:modified xsi:type="dcterms:W3CDTF">2017-09-15T07:10:00Z</dcterms:modified>
</cp:coreProperties>
</file>