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460" w:line="276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UCHWAŁA NR VII1/77/2024</w:t>
        <w:br/>
        <w:t>Rady Gminy Skąpe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460" w:line="276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z dnia 29 listopada 2024 r.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300" w:line="276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w sprawie zmian Wieloletniej Prognozy Finansowej Gmina Skąpe na lata 2024-2029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64" w:lineRule="auto"/>
        <w:ind w:left="0" w:right="0" w:firstLine="0"/>
        <w:jc w:val="both"/>
        <w:rPr>
          <w:sz w:val="19"/>
          <w:szCs w:val="19"/>
        </w:rPr>
      </w:pPr>
      <w:r>
        <w:rPr>
          <w:i/>
          <w:iCs/>
          <w:color w:val="000000"/>
          <w:spacing w:val="0"/>
          <w:w w:val="100"/>
          <w:position w:val="0"/>
          <w:sz w:val="19"/>
          <w:szCs w:val="19"/>
        </w:rPr>
        <w:t>Na podstawie art. 18 ust. 2 pkt 15 ustawy z dnia 08 marca 1990r. o samorządzie gminnym (Dz. U. z 2024r. poz. 1465 z późn.zm.), art. 226, art. 227, art. 228, art. 229, art. 230 ust. 1 i 6, art. 231, art. 232 i art. 243 ustawy z dnia 27 sierpnia 2009r. o finansach publicznych (Dz.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540" w:line="264" w:lineRule="auto"/>
        <w:ind w:left="0" w:right="0" w:firstLine="0"/>
        <w:jc w:val="both"/>
        <w:rPr>
          <w:sz w:val="19"/>
          <w:szCs w:val="19"/>
        </w:rPr>
      </w:pPr>
      <w:r>
        <w:rPr>
          <w:i/>
          <w:iCs/>
          <w:color w:val="000000"/>
          <w:spacing w:val="0"/>
          <w:w w:val="100"/>
          <w:position w:val="0"/>
          <w:sz w:val="19"/>
          <w:szCs w:val="19"/>
        </w:rPr>
        <w:t xml:space="preserve">U. z 2024r. poz. 1530 z póź. zm.), </w:t>
      </w:r>
      <w:r>
        <w:rPr>
          <w:b/>
          <w:bCs/>
          <w:i/>
          <w:iCs/>
          <w:color w:val="000000"/>
          <w:spacing w:val="0"/>
          <w:w w:val="100"/>
          <w:position w:val="0"/>
          <w:sz w:val="19"/>
          <w:szCs w:val="19"/>
        </w:rPr>
        <w:t>uchwala się, co następuje: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§1. W uchwale nr Uchwała Nr LXIV/555/2023 Rady Gminy Skąpe z dnia 18.12.2023 r. w sprawie Wieloletniej Prognozy Finansowej Gmina Skąpe na lata 2024-2029 wprowadza się następujące zmiany: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30" w:val="left"/>
          <w:tab w:pos="5436" w:val="right"/>
          <w:tab w:pos="5631" w:val="left"/>
          <w:tab w:pos="5958" w:val="left"/>
          <w:tab w:pos="7401" w:val="center"/>
        </w:tabs>
        <w:bidi w:val="0"/>
        <w:spacing w:before="0" w:after="0"/>
        <w:ind w:left="0" w:right="0" w:firstLine="380"/>
        <w:jc w:val="both"/>
      </w:pPr>
      <w:bookmarkStart w:id="0" w:name="bookmark0"/>
      <w:bookmarkEnd w:id="0"/>
      <w:r>
        <w:rPr>
          <w:color w:val="000000"/>
          <w:spacing w:val="0"/>
          <w:w w:val="100"/>
          <w:position w:val="0"/>
        </w:rPr>
        <w:t>załącznik nr 1 otrzymuje brzmienie,</w:t>
        <w:tab/>
        <w:t>jak w załączniku</w:t>
        <w:tab/>
        <w:t>nr 1</w:t>
        <w:tab/>
        <w:t>do niniejszej</w:t>
        <w:tab/>
        <w:t>uchwały,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41" w:val="left"/>
          <w:tab w:pos="5436" w:val="right"/>
          <w:tab w:pos="5646" w:val="left"/>
          <w:tab w:pos="5991" w:val="left"/>
          <w:tab w:pos="7401" w:val="center"/>
        </w:tabs>
        <w:bidi w:val="0"/>
        <w:spacing w:before="0" w:after="0"/>
        <w:ind w:left="0" w:right="0" w:firstLine="380"/>
        <w:jc w:val="both"/>
      </w:pPr>
      <w:bookmarkStart w:id="1" w:name="bookmark1"/>
      <w:bookmarkEnd w:id="1"/>
      <w:r>
        <w:rPr>
          <w:color w:val="000000"/>
          <w:spacing w:val="0"/>
          <w:w w:val="100"/>
          <w:position w:val="0"/>
        </w:rPr>
        <w:t>załącznik nr 2 otrzymuje brzmienie,</w:t>
        <w:tab/>
        <w:t>jak w załączniku</w:t>
        <w:tab/>
        <w:t>nr 2</w:t>
        <w:tab/>
        <w:t>do niniejszej</w:t>
        <w:tab/>
        <w:t>uchwały,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1" w:val="left"/>
          <w:tab w:pos="5056" w:val="right"/>
          <w:tab w:pos="5263" w:val="left"/>
          <w:tab w:pos="5608" w:val="left"/>
          <w:tab w:pos="7021" w:val="center"/>
        </w:tabs>
        <w:bidi w:val="0"/>
        <w:spacing w:before="0" w:after="1380"/>
        <w:ind w:left="0" w:right="0" w:firstLine="380"/>
        <w:jc w:val="both"/>
      </w:pPr>
      <w:bookmarkStart w:id="2" w:name="bookmark2"/>
      <w:bookmarkEnd w:id="2"/>
      <w:r>
        <w:rPr>
          <w:color w:val="000000"/>
          <w:spacing w:val="0"/>
          <w:w w:val="100"/>
          <w:position w:val="0"/>
        </w:rPr>
        <w:t>załącznik nr 3 otrzymuje brzmienie,</w:t>
        <w:tab/>
        <w:t>jak w załączniku</w:t>
        <w:tab/>
        <w:t>nr 3</w:t>
        <w:tab/>
        <w:t>do niniejszej</w:t>
        <w:tab/>
        <w:t xml:space="preserve">uchwały, </w:t>
      </w:r>
      <w:r>
        <w:rPr>
          <w:b/>
          <w:bCs/>
          <w:color w:val="000000"/>
          <w:spacing w:val="0"/>
          <w:w w:val="100"/>
          <w:position w:val="0"/>
        </w:rPr>
        <w:t xml:space="preserve">§ 2. </w:t>
      </w:r>
      <w:r>
        <w:rPr>
          <w:color w:val="000000"/>
          <w:spacing w:val="0"/>
          <w:w w:val="100"/>
          <w:position w:val="0"/>
        </w:rPr>
        <w:t>Uchwała wchodzi w życie z dniem podjęcia.</w:t>
      </w:r>
    </w:p>
    <w:p>
      <w:pPr>
        <w:pStyle w:val="Style9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firstLine="0"/>
        <w:jc w:val="righ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Przewodniczący Rady Gminy</w:t>
      </w:r>
      <w:bookmarkEnd w:id="3"/>
      <w:bookmarkEnd w:id="4"/>
      <w:bookmarkEnd w:id="5"/>
    </w:p>
    <w:p>
      <w:pPr>
        <w:pStyle w:val="Style9"/>
        <w:keepNext/>
        <w:keepLines/>
        <w:widowControl w:val="0"/>
        <w:shd w:val="clear" w:color="auto" w:fill="auto"/>
        <w:bidi w:val="0"/>
        <w:spacing w:before="0" w:after="5680" w:line="240" w:lineRule="auto"/>
        <w:ind w:left="0" w:firstLine="0"/>
        <w:jc w:val="right"/>
      </w:pPr>
      <w:bookmarkStart w:id="3" w:name="bookmark3"/>
      <w:bookmarkStart w:id="4" w:name="bookmark4"/>
      <w:bookmarkStart w:id="6" w:name="bookmark6"/>
      <w:r>
        <w:rPr>
          <w:color w:val="000000"/>
          <w:spacing w:val="0"/>
          <w:w w:val="100"/>
          <w:position w:val="0"/>
        </w:rPr>
        <w:t>Wiesław Zawiślak</w:t>
      </w:r>
      <w:bookmarkEnd w:id="3"/>
      <w:bookmarkEnd w:id="4"/>
      <w:bookmarkEnd w:id="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6068695</wp:posOffset>
                </wp:positionH>
                <wp:positionV relativeFrom="paragraph">
                  <wp:posOffset>12700</wp:posOffset>
                </wp:positionV>
                <wp:extent cx="402590" cy="90170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2590" cy="90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Strona 1 z 14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7.85000000000002pt;margin-top:1pt;width:31.699999999999999pt;height:7.0999999999999996pt;z-index:-125829375;mso-wrap-distance-left:9pt;mso-wrap-distance-right: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Strona 1 z 14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2240" w:h="18720"/>
          <w:pgMar w:top="2602" w:right="2015" w:bottom="1738" w:left="2023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</w:p>
    <w:p>
      <w:pPr>
        <w:widowControl w:val="0"/>
        <w:spacing w:line="115" w:lineRule="exact"/>
        <w:rPr>
          <w:sz w:val="9"/>
          <w:szCs w:val="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8720" w:h="12240" w:orient="landscape"/>
          <w:pgMar w:top="496" w:right="1895" w:bottom="898" w:left="122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9601200</wp:posOffset>
                </wp:positionH>
                <wp:positionV relativeFrom="paragraph">
                  <wp:posOffset>63500</wp:posOffset>
                </wp:positionV>
                <wp:extent cx="1334770" cy="353695"/>
                <wp:wrapSquare wrapText="bothSides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34770" cy="3536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02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załącznik nr 1 do uchwały nr Uchwała Nr VIII/77/2024 z dnia 2024-11-29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756pt;margin-top:5pt;width:105.09999999999999pt;height:27.850000000000001pt;z-index:-125829373;mso-wrap-distance-left:9pt;mso-wrap-distance-right:9pt;mso-position-horizontal-relative:page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02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załącznik nr 1 do uchwały nr Uchwała Nr VIII/77/2024 z dnia 2024-11-29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7" w:name="bookmark7"/>
      <w:bookmarkStart w:id="8" w:name="bookmark8"/>
      <w:bookmarkStart w:id="9" w:name="bookmark9"/>
      <w:r>
        <w:rPr>
          <w:color w:val="000000"/>
          <w:spacing w:val="0"/>
          <w:w w:val="100"/>
          <w:position w:val="0"/>
          <w:sz w:val="24"/>
          <w:szCs w:val="24"/>
        </w:rPr>
        <w:t>Wieloletnia prognoza finansowa 1)</w:t>
      </w:r>
      <w:bookmarkEnd w:id="7"/>
      <w:bookmarkEnd w:id="8"/>
      <w:bookmarkEnd w:id="9"/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Ustalona na lata 2022-2025 relacja żart. 243 (poz. 8.3, 8.3.1, 8.4 i 8.4.1)została obliczona według średniej 7-letniej</w:t>
      </w:r>
    </w:p>
    <w:tbl>
      <w:tblPr>
        <w:tblOverlap w:val="never"/>
        <w:jc w:val="center"/>
        <w:tblLayout w:type="fixed"/>
      </w:tblPr>
      <w:tblGrid>
        <w:gridCol w:w="1137"/>
        <w:gridCol w:w="1133"/>
        <w:gridCol w:w="1130"/>
        <w:gridCol w:w="1130"/>
        <w:gridCol w:w="1133"/>
        <w:gridCol w:w="1130"/>
        <w:gridCol w:w="1130"/>
        <w:gridCol w:w="1133"/>
        <w:gridCol w:w="1130"/>
        <w:gridCol w:w="1130"/>
        <w:gridCol w:w="1133"/>
        <w:gridCol w:w="1137"/>
      </w:tblGrid>
      <w:tr>
        <w:trPr>
          <w:trHeight w:val="292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Dochody ogółem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10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Dochody bieżące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majątkowe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88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z tytułu udziału we wpływach z podatku dochodowego od osób fizycznych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z tytułu udziału we wpływach z podatku dochodowego od osób prawnych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subwencji ogólnej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z tytułu dotacji i środków przeznaczonych na cele bieżące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pozostałe dochody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ze sprzedaży majątku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tytułu dotacji oraz środków przeznaczonych na inwestycje</w:t>
            </w:r>
          </w:p>
        </w:tc>
      </w:tr>
      <w:tr>
        <w:trPr>
          <w:trHeight w:val="2977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podatku od nieruchomości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1.1.5.1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1.2.1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1.2.2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53 324 335,99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32 954 902,92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5 226 261,00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247 817,00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9 698 739,00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6 197 179,92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11 584 906,00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5 023 956,00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20 369 433,07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4 037 303,00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16 329 130,07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38 056 700,89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29 487 830,00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5 148 681,00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257 977,00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8 987 000,00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3 756 589,00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11 337 583,00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5 229 938,00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8 568 870,89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8 068 870,89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33 901 952,00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30 401 952,00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5 308 290,00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265 974,00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9 265 597,00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3 873 043,00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11 689 048,00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5 392 066,00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3 500 000,00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32 262 000,00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31 162 000,00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5 440 997,00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272 623,00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9 497 237,00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3 969 869,00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11 981 274,00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5 526 868,00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1 100 000,00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1 100 000,00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32 634 536,00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32 034 536,00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5 593 345,00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280 256,00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9 763 160,00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4 081 025,00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12 316 750,00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5 681 620,00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600 000,00</w:t>
            </w:r>
          </w:p>
        </w:tc>
      </w:tr>
      <w:tr>
        <w:trPr>
          <w:trHeight w:val="29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33 667 435,00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32 867 435,00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5 738 772,00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287 543,00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10 017 002,00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4 187 132,00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12 636 986,00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5 829 342,00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800 000,00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9" w:right="0" w:firstLine="0"/>
        <w:jc w:val="left"/>
      </w:pPr>
      <w:r>
        <w:rPr>
          <w:color w:val="000000"/>
          <w:spacing w:val="0"/>
          <w:w w:val="100"/>
          <w:position w:val="0"/>
        </w:rPr>
        <w:t>Wzór może być stosowany także w układzie pionowym, w którym poszczególne pozycje są przedstawione w kolumnach, a lata w wierszach.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69" w:lineRule="auto"/>
        <w:ind w:left="94" w:right="0" w:firstLine="0"/>
        <w:jc w:val="left"/>
      </w:pPr>
      <w:r>
        <w:rPr>
          <w:color w:val="000000"/>
          <w:spacing w:val="0"/>
          <w:w w:val="100"/>
          <w:position w:val="0"/>
        </w:rPr>
        <w:t>Zgodnie z art. 227 ustawy z dnia 27 sierpnia 2009 r. o finansach publicznych (Dz. U. z 2019 r. poz. 869, z późn. zm.), zwanej dalej „ustawą”, wieloletnia prognoza finansowa obejmuje okres roku budżetowego oraz co najmniej trzech kolejnych lat. W sytuacji dłuższego okresu prognozowania finansowego wzór stosuje się dla lat wykraczających poza minimalny (4-letni) okres prognozy, wynikający z art. 227 ustawy.</w:t>
      </w:r>
    </w:p>
    <w:p>
      <w:pPr>
        <w:widowControl w:val="0"/>
        <w:spacing w:after="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 w:line="269" w:lineRule="auto"/>
        <w:ind w:left="300" w:right="0" w:hanging="60"/>
        <w:jc w:val="left"/>
      </w:pPr>
      <w:r>
        <w:rPr>
          <w:color w:val="000000"/>
          <w:spacing w:val="0"/>
          <w:w w:val="100"/>
          <w:position w:val="0"/>
        </w:rPr>
        <w:t>W pozycji wykazuje się dochody o charakterze celowym, które jednostka otrzymuje od podmiotów zewnętrznych. W szczególności pozycja obejmuje dotacje celowe z budżetu państwa na zadania bieżące oraz dotacje i środki na finansowanie wydatków bieżących na realizację zadań finansowanych z udziałem środków, o których mowa w art. 5 ust. 1 pkt 2 i 3 ustawy. W pozycji nie wykazuje się natomiast dochodów związanych ze szczególnymi zasadami wykonywania budżetu jednostki wynikającymi z odrębnych ustaw, o których mowa w art. 237 ust. 1 ustawy.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320" w:line="269" w:lineRule="auto"/>
        <w:ind w:left="0" w:right="0" w:firstLine="240"/>
        <w:jc w:val="left"/>
      </w:pPr>
      <w:r>
        <w:rPr>
          <w:color w:val="000000"/>
          <w:spacing w:val="0"/>
          <w:w w:val="100"/>
          <w:position w:val="0"/>
        </w:rPr>
        <w:t>W pozycji wykazuje się pozostałe dochody bieżące w szczególności kwoty podatków i opłat lokalnych.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10116820</wp:posOffset>
                </wp:positionH>
                <wp:positionV relativeFrom="paragraph">
                  <wp:posOffset>88900</wp:posOffset>
                </wp:positionV>
                <wp:extent cx="406400" cy="9017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6400" cy="90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Strona 2 z 14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796.60000000000002pt;margin-top:7pt;width:32pt;height:7.0999999999999996pt;z-index:-125829371;mso-wrap-distance-left:9pt;mso-wrap-distance-right: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Strona 2 z 14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140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29"/>
        <w:gridCol w:w="1136"/>
        <w:gridCol w:w="1133"/>
        <w:gridCol w:w="1140"/>
      </w:tblGrid>
      <w:tr>
        <w:trPr>
          <w:trHeight w:val="293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Wydatki ogółem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11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Wydatki bieżące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7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Wydatki majątkowe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na wynagrodzenia i składki od nich naliczane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tytułu poręczeń i gwarancji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wydatki na obsługę długu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78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Inwestycje i zakupy inwestycyjne, o których mowa w art. 236 ust. 4 pkt 1 ustawy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9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gwarancje i poręczenia podlegające wyłączeniu z limitu spłaty zobowiązań, o którym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243 ustawy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odsetki i dyskonto podlegające wyłączeniu z limitu spłaty zobowiązań, o którym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243 ustawy, w terminie nie dłuższym niż 90 dni po zakończeniu programu, projektu lub zadania i otrzymaniu refundacji z tych środków (bez odsetek i dyskonta od zobowiązań na wkład krajowy)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odsetki i dyskonto podlegające wyłączeniu z limitu spłaty zobowiązań, o którym mowa w art. 243 ustawy, z tytułu zobowiązań zaciągniętych na wkład krajowy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pozostałe odsetki i dyskonto podlegające wyłączeniu z limitu spłaty zobowiązań, o którym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243 ustaw/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o charakterze dotacyjnym na inwestycje i zakupy inwestycyjne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2.1.3.2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2.1.3.3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2.2.1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2.2.1.1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57 969 119,35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33 621 178,02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14 288 795,39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250 000,00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24 347 941,33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24 347 941,33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1 933 561,52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37 015 960,89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28 893 371,90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13 308 212,00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613 956,00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8 122 588,99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8 122 588,99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33 361 212,00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29 158 411,00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13 494 527,00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460 626,00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4 202 801,00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4 202 801,00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31 721 260,00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29 479 230,00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13 663 209,00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422 722,00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2 242 030,00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2 242 030,00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32 134 536,00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29 859 999,00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14 021 868,00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2 274 537,00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2 274 537,00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33167 435,00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30 575 515,00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14 382 931,00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2 591 920,00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2 591 920,00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widowControl w:val="0"/>
        <w:spacing w:after="43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37"/>
        <w:gridCol w:w="1133"/>
        <w:gridCol w:w="1130"/>
        <w:gridCol w:w="1133"/>
        <w:gridCol w:w="1130"/>
        <w:gridCol w:w="1130"/>
        <w:gridCol w:w="1133"/>
        <w:gridCol w:w="1130"/>
        <w:gridCol w:w="1130"/>
        <w:gridCol w:w="1145"/>
      </w:tblGrid>
      <w:tr>
        <w:trPr>
          <w:trHeight w:val="28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Wynik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Przychody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prognozowanej nadwyżki budżetu przeznaczana na spłatę kredytów, pożyczek i wykup papierów wartościowych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Kredyty, pożyczki, emisja papierów wartościowych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Nadwyżka budżetowa z lat ubiegłych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8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Wolne środki, o których mowa w art. 217 ust. 2 pkt 6 ustawy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3262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 pokrycie deficytu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 pokrycie deficytu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 pokrycie deficytu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4.3.1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-4 644 783,36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5 685 523,36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1 959 260,00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1 933 389,64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1 933 389,64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752 133,72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752 133,72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9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" w:right="0" w:firstLine="0"/>
        <w:jc w:val="left"/>
      </w:pPr>
      <w:r>
        <w:rPr>
          <w:color w:val="000000"/>
          <w:spacing w:val="0"/>
          <w:w w:val="100"/>
          <w:position w:val="0"/>
        </w:rPr>
        <w:t>Inne przeznaczenie nadwyżki budżetowej wymaga określenia w objaśnieniach do wieloletniej prognozy finansowej.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" w:right="0" w:firstLine="0"/>
        <w:jc w:val="left"/>
      </w:pPr>
      <w:r>
        <w:rPr>
          <w:color w:val="000000"/>
          <w:spacing w:val="0"/>
          <w:w w:val="100"/>
          <w:position w:val="0"/>
        </w:rPr>
        <w:t>6) W pozycji należy ująć środki pieniężne znajdujące się na rachunku budżetu pochodzące z nadwyżek poprzednich budżetów, łącznie z niewykorzystanymi środkami, o których mowa w art. 217 ust. 2 pkt 8 ustawy.</w:t>
      </w:r>
    </w:p>
    <w:p>
      <w:pPr>
        <w:widowControl w:val="0"/>
        <w:spacing w:after="39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34"/>
        <w:gridCol w:w="1130"/>
        <w:gridCol w:w="1127"/>
        <w:gridCol w:w="1130"/>
        <w:gridCol w:w="1127"/>
        <w:gridCol w:w="1127"/>
        <w:gridCol w:w="1130"/>
        <w:gridCol w:w="1127"/>
        <w:gridCol w:w="1130"/>
        <w:gridCol w:w="1142"/>
      </w:tblGrid>
      <w:tr>
        <w:trPr>
          <w:trHeight w:val="291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Rozchody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Spłaty udzielonych pożyczek w latach ubiegłych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Inne przychody niezwiązane z zaciągnięciem długu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x7)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Spłaty rat kapitałowych kredytów </w:t>
            </w:r>
            <w:r>
              <w:rPr>
                <w:color w:val="373D53"/>
                <w:spacing w:val="0"/>
                <w:w w:val="100"/>
                <w:position w:val="0"/>
              </w:rPr>
              <w:t xml:space="preserve">i </w:t>
            </w:r>
            <w:r>
              <w:rPr>
                <w:color w:val="000000"/>
                <w:spacing w:val="0"/>
                <w:w w:val="100"/>
                <w:position w:val="0"/>
              </w:rPr>
              <w:t xml:space="preserve">pożyczek oraz wykup papierów wartościowych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 pokrycie deficytu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8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na pokrycie deficytu budżetu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łączna kwota przypadających na dany rok kwot ustawowych wyłączeń z limitu spłaty zobowiązań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97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600" w:after="0" w:line="324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kwota przypadających na dany rok kwot wyłączeń określonych w art. 243 ust. 3 ustawy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600" w:after="0" w:line="324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kwota przypadających na dany rok kwot wyłączeń określonych w art. 243 ust. 3a ustawy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4.4.1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4.5.1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both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5.1.1.2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9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" w:right="0" w:firstLine="0"/>
        <w:jc w:val="left"/>
      </w:pPr>
      <w:r>
        <w:rPr>
          <w:color w:val="000000"/>
          <w:spacing w:val="0"/>
          <w:w w:val="100"/>
          <w:position w:val="0"/>
          <w:vertAlign w:val="superscript"/>
        </w:rPr>
        <w:t>7</w:t>
      </w:r>
      <w:r>
        <w:rPr>
          <w:color w:val="000000"/>
          <w:spacing w:val="0"/>
          <w:w w:val="100"/>
          <w:position w:val="0"/>
        </w:rPr>
        <w:t>) W pozycji należy ująć w szczególności przychody pochodzące z prywatyzacji majątku jednostki samorządu terytorialnego.</w:t>
      </w:r>
    </w:p>
    <w:p>
      <w:pPr>
        <w:widowControl w:val="0"/>
        <w:spacing w:after="41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140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0"/>
      </w:tblGrid>
      <w:tr>
        <w:trPr>
          <w:trHeight w:val="293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6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Rozchody budżetu, 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Kwota długu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9"/>
                <w:szCs w:val="9"/>
              </w:rPr>
            </w:pPr>
            <w:r>
              <w:rPr>
                <w:color w:val="000000"/>
                <w:spacing w:val="0"/>
                <w:w w:val="100"/>
                <w:position w:val="0"/>
                <w:sz w:val="9"/>
                <w:szCs w:val="9"/>
              </w:rPr>
              <w:t>Relacja zrównoważenia wydatków bieżących, o której mowa w art. 242 ustawy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łączna kwota przypadających na dany rok kwot ustawowych wyłączeń z limitu spłaty zobowiązań, 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Inne rozchody niezwiązane ze spłatą długu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kwota długu, którego planowana spłata dokona się z wydatków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Różnica między dochodami bieżącymi a wydatkami bieżącymi X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8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Różnica między dochodami bieżącymi, skorygowanymi o środki^ a wydatkami bieżącymi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</w:tr>
      <w:tr>
        <w:trPr>
          <w:trHeight w:val="28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wyłączeń z tytułu wcześniejszej spłaty zobowiązań, określonych w art. 243 ust. 3b ustawy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przypadających na dany rok kwot pozostałych ustawowych wyłączeń z limitu spłaty zobowiązań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978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środkami nowego zobowiązania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wolnymi środkami, o których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217 ust. 2 pkt 6 ustawy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innymi środkami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5.1.1.3.2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5.1.1.3.3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5.1.1.4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5.2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6.1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7.1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7.2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3 122 220,00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-666 275,10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2 019 248,26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2 081 480,00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594 458,10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594 458,10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1 540 740,00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1 243 541,00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1 243 541,00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1 000 000,00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1 682 770,00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1 682 770,00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2 174 537,00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2 174 537,00</w:t>
            </w:r>
          </w:p>
        </w:tc>
      </w:tr>
      <w:tr>
        <w:trPr>
          <w:trHeight w:val="2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2 291 920,00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2 291 920,00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69" w:lineRule="auto"/>
        <w:ind w:left="11" w:right="0" w:firstLine="0"/>
        <w:jc w:val="left"/>
      </w:pPr>
      <w:r>
        <w:rPr>
          <w:color w:val="000000"/>
          <w:spacing w:val="0"/>
          <w:w w:val="100"/>
          <w:position w:val="0"/>
        </w:rPr>
        <w:t>8) Skorygowanie o środki dotyczy określonego w art. 242 ustawy powiększenia o odpowiednie dla roku prognozy przychody wskazane w art. 217 ust. 2 ustawy. Skutki finansowe wyłączeń ograniczenia, o którym mowa w art. 242 ustawy, zawarte w innych ustawach należy ująć w objaśnieniach dołączanych do wieloletniej prognozy finansowej zgodnie żart. 226 ust. 2a ustawy.</w:t>
      </w:r>
    </w:p>
    <w:p>
      <w:pPr>
        <w:widowControl w:val="0"/>
        <w:spacing w:after="403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34"/>
        <w:gridCol w:w="1130"/>
        <w:gridCol w:w="1127"/>
        <w:gridCol w:w="1130"/>
        <w:gridCol w:w="1127"/>
        <w:gridCol w:w="1127"/>
        <w:gridCol w:w="1130"/>
        <w:gridCol w:w="1134"/>
      </w:tblGrid>
      <w:tr>
        <w:trPr>
          <w:trHeight w:val="291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7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Wskaźnik spłaty zobowiązań</w:t>
            </w:r>
          </w:p>
        </w:tc>
      </w:tr>
      <w:tr>
        <w:trPr>
          <w:trHeight w:val="354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1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Relacja określona po prawej stronie nierówności we wzorze, o którym mowa w art. 243 ust. 1 ustawy, ustalona dla danego roku (wskaźnik jednoroczny)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budżetów/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budżetów/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8.1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8.3.1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8.4.1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4,82%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-1,56%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13,53%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20,00%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23,12%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6,43%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4,70%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19,56%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22,68%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3,77%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6,42%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11,10%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14,63%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  <w:tr>
        <w:trPr>
          <w:trHeight w:val="280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3,54%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7,74%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8,98%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12,51%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2,00%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7,99%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7,11%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10,63%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  <w:tr>
        <w:trPr>
          <w:trHeight w:val="29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1,81%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8,06%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5,13%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8,66%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TAK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" w:right="0" w:firstLine="0"/>
        <w:jc w:val="left"/>
        <w:rPr>
          <w:sz w:val="12"/>
          <w:szCs w:val="12"/>
        </w:rPr>
      </w:pPr>
      <w:r>
        <w:rPr>
          <w:color w:val="000000"/>
          <w:spacing w:val="0"/>
          <w:w w:val="100"/>
          <w:position w:val="0"/>
          <w:sz w:val="12"/>
          <w:szCs w:val="12"/>
        </w:rPr>
        <w:t>Ustalona na lata 2022-2025 relacja z art. 243 (poz. 8.3, 8.3.1, 8.4 i 8.4.1) została obliczona według średniej 7-letniej</w:t>
      </w:r>
    </w:p>
    <w:p>
      <w:pPr>
        <w:widowControl w:val="0"/>
        <w:spacing w:after="419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40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40"/>
      </w:tblGrid>
      <w:tr>
        <w:trPr>
          <w:trHeight w:val="293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9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Finansowanie programów, projektów lub zadań realizowanych z udziałem środków, o których mowa w art. 5 ust. 1 pkt 2 i 3 ustawy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bieżące na programy, projekty lub zadania finansowane z udziałem środków, o których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5 ust. 1 pkt 2 i 3 ustawy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bieżące na programy, projekty lub zadania finansowane z udziałem środków, o których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5 ust. 1 pkt 2 i 3 ustawy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8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Dotacje i środki o charakterze bieżącym na realizację programu, projektu lub zadania finansowanego z udziałem środków, o których mowa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ust. 1 pkt 2 ustaw/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bieżące na programy, projekty lub zadania finansowane z udziałem środków, o których mowa w art. 5 ust. 1 pkt 2 ustaw/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</w:tr>
      <w:tr>
        <w:trPr>
          <w:trHeight w:val="297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środki określone w art. 5 ust. 1 pkt 2 ustawy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środki określone w art. 5 ust. 1 pkt 2 ustawy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finansowane środkami określonymi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ust. 1 pkt 2 ustawy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9.1.1.1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9.2.1.1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9.3.1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9.3.1.1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5 118 256,06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5 118 256,06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5 118 256,06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widowControl w:val="0"/>
        <w:spacing w:after="43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40"/>
        <w:gridCol w:w="1133"/>
        <w:gridCol w:w="1133"/>
        <w:gridCol w:w="1133"/>
        <w:gridCol w:w="1133"/>
        <w:gridCol w:w="1133"/>
        <w:gridCol w:w="1129"/>
        <w:gridCol w:w="1136"/>
        <w:gridCol w:w="1133"/>
        <w:gridCol w:w="1133"/>
        <w:gridCol w:w="1140"/>
      </w:tblGrid>
      <w:tr>
        <w:trPr>
          <w:trHeight w:val="293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3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7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Informacje uzupełniające o wybranych kategoriach finansowych</w:t>
            </w:r>
          </w:p>
        </w:tc>
      </w:tr>
      <w:tr>
        <w:trPr>
          <w:trHeight w:val="281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objęte limitem, o którym mowa w art. 226 ust. 3 pkt 4 ustawy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 tego: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bieżące na pokrycie ujemnego wyniku finansowego samodzielnego publicznego zakładu opieki zdrowotnej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2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zobowiązań związku współtworzonego przez jednostkę samorządu terytorialnego przypadających do spłaty wdanym roku budżetowym, podlegająca doliczeniu zgodnie z art. 244 ustaw/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rPr>
          <w:trHeight w:val="285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bieżące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majątkowe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978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finansowane środkami określonymi w art.</w:t>
            </w:r>
          </w:p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ust. 1 pkt 2 ustawy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9.4.1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9.4.1.1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10.1.2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10.5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6 539 223,50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6 539 223,50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5 118 256,06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13 449 716,51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194 000,00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13 255 716,51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8 851 618,89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782 748,00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8 068 870,89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widowControl w:val="0"/>
        <w:spacing w:after="43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1137"/>
        <w:gridCol w:w="1133"/>
        <w:gridCol w:w="1130"/>
        <w:gridCol w:w="1133"/>
        <w:gridCol w:w="1130"/>
        <w:gridCol w:w="1130"/>
        <w:gridCol w:w="1133"/>
        <w:gridCol w:w="1130"/>
        <w:gridCol w:w="1130"/>
        <w:gridCol w:w="1133"/>
        <w:gridCol w:w="1130"/>
        <w:gridCol w:w="1141"/>
      </w:tblGrid>
      <w:tr>
        <w:trPr>
          <w:trHeight w:val="288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Wyszczególnienie</w:t>
            </w:r>
          </w:p>
        </w:tc>
        <w:tc>
          <w:tcPr>
            <w:gridSpan w:val="11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Informacje uzupełniające o wybranych kategoriach finansowych</w:t>
            </w:r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Spłaty, o których mowa w poz. 5.1, wynikające wyłącznie z tytułu zobowiązań już zaciągniętych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Wydatki zmniejszające dług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Kwota wzrostu(+)/spadku(-) kwoty długu wynikająca z operacji niekasowych (m.in. umorzenia, różnice kursowe)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Wcześniejsza spłata zobowiązań, wyłączona z limitu spłaty zobowiązań, dokonywana w formie wydatków budżetowych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07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Wydatki bieżące podlegające ustawowemu wyłączeniu z limitu spłaty zobowiązań®^</w:t>
            </w:r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spłata zobowiązań wymagalnych z lat poprzednich, innych niż w poz. 10.7.3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3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spłata zobowiązań zaliczanych do tytułu dłużnego - kredyt i pożyczka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6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11"/>
                <w:szCs w:val="11"/>
              </w:rPr>
              <w:t xml:space="preserve">wypłaty z tytułu wymagalnych poręczeń i gwarancji </w:t>
            </w: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84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zobowiązań zaciągniętych po dniu 1 stycznia 2019 r.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w tym: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693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 xml:space="preserve">dokonywana w formie wydatku bieżącego </w:t>
            </w:r>
            <w:r>
              <w:rPr>
                <w:color w:val="000000"/>
                <w:spacing w:val="0"/>
                <w:w w:val="100"/>
                <w:position w:val="0"/>
                <w:vertAlign w:val="superscript"/>
              </w:rPr>
              <w:t>x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top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Lp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10.7.2.1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10.7.2.1.1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10.7.3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10.11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1 040 740,00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  <w:tr>
        <w:trPr>
          <w:trHeight w:val="29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8"/>
                <w:szCs w:val="8"/>
              </w:rPr>
            </w:pPr>
            <w:r>
              <w:rPr>
                <w:color w:val="000000"/>
                <w:spacing w:val="0"/>
                <w:w w:val="100"/>
                <w:position w:val="0"/>
                <w:sz w:val="8"/>
                <w:szCs w:val="8"/>
              </w:rPr>
              <w:t>X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0,00</w:t>
            </w:r>
          </w:p>
        </w:tc>
      </w:tr>
    </w:tbl>
    <w:p>
      <w:pPr>
        <w:widowControl w:val="0"/>
        <w:spacing w:after="3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0" w:line="269" w:lineRule="auto"/>
        <w:ind w:left="180" w:right="0" w:firstLine="0"/>
        <w:jc w:val="left"/>
      </w:pPr>
      <w:r>
        <w:rPr>
          <w:color w:val="000000"/>
          <w:spacing w:val="0"/>
          <w:w w:val="100"/>
          <w:position w:val="0"/>
        </w:rPr>
        <w:t>9) W pozycji należy ująć kwoty wydatków bieżących, o które zostają pomniejszone wydatki bieżące budżetu przy wyliczaniu limitu spłaty zobowiązań określonego po prawej stronie nierówności we wzorze, o którym mowa w art. 243 ustawy, na podstawie odrębnych ustaw, bez wydatków bieżących na obsługę długu. W szczególności należy ująć wydatki poniesione w celu realizacji zadań związanych z przeciwdziałaniem COVID-19.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62" w:lineRule="auto"/>
        <w:ind w:left="180" w:right="0" w:firstLine="80"/>
        <w:jc w:val="left"/>
      </w:pPr>
      <w:r>
        <w:rPr>
          <w:color w:val="000000"/>
          <w:spacing w:val="0"/>
          <w:w w:val="100"/>
          <w:position w:val="0"/>
        </w:rPr>
        <w:t>Informacje zawarte w tej części wieloletniej prognozy finansowej, w tym o spełnieniu relacji określonej w art. 243 ustawy zostaną automatycznie wygenerowane przez aplikację wskazaną przez Ministra Finansów, o której mowa w § 4 ust. 1, na podstawie danych historycznych oraz prognozowanych przez jednostkę samorządu terytorialnego. Automatyczne wyliczenia danych na podstawie wartości historycznych i prognozowanych przez jednostkę samorządu terytorialnego dotyczą w szczególności także pozycji 8.3 - 8.3.1 i pozycji z sekcji 12.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400" w:line="269" w:lineRule="auto"/>
        <w:ind w:left="180" w:right="0" w:firstLine="0"/>
        <w:jc w:val="left"/>
      </w:pPr>
      <w:r>
        <w:rPr>
          <w:color w:val="000000"/>
          <w:spacing w:val="0"/>
          <w:w w:val="100"/>
          <w:position w:val="0"/>
          <w:vertAlign w:val="superscript"/>
        </w:rPr>
        <w:t>x</w:t>
      </w:r>
      <w:r>
        <w:rPr>
          <w:color w:val="000000"/>
          <w:spacing w:val="0"/>
          <w:w w:val="100"/>
          <w:position w:val="0"/>
        </w:rPr>
        <w:t xml:space="preserve"> - pozycje oznaczone symbolem „x" sporządza się na okres prognozy kwoty długu, zgodnie z art. 227 ust. 2 ustawy. Okres ten nie podlega wydłużeniu w sytuacji planowania wydatków z tytułu niewymagalnych poręczeń i gwarancji. W przypadku planowania wydatków z tytułu niewymagalnych poręczeń i gwarancji w okresie dłuższym niż okres, na który zaciągnięto oraz planuje się zaciągnąć zobowiązania dłużne, informację o wydatkach z tytułu niewymagalnych poręczeń i gwarancji, wykraczających poza wspomniany okres, należy zamieścić w objaśnieniach do wieloletniej prognozy finansowej.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/>
        <w:ind w:left="11860" w:right="0" w:firstLine="0"/>
        <w:jc w:val="right"/>
      </w:pPr>
      <w:r>
        <mc:AlternateContent>
          <mc:Choice Requires="wps">
            <w:drawing>
              <wp:anchor distT="0" distB="0" distL="114300" distR="114300" simplePos="0" relativeHeight="125829384" behindDoc="0" locked="0" layoutInCell="1" allowOverlap="1">
                <wp:simplePos x="0" y="0"/>
                <wp:positionH relativeFrom="page">
                  <wp:posOffset>796290</wp:posOffset>
                </wp:positionH>
                <wp:positionV relativeFrom="margin">
                  <wp:posOffset>271780</wp:posOffset>
                </wp:positionV>
                <wp:extent cx="1574165" cy="194945"/>
                <wp:wrapSquare wrapText="right"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416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Przedsięwzięcia WPF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62.700000000000003pt;margin-top:21.399999999999999pt;width:123.95pt;height:15.35pt;z-index:-125829369;mso-wrap-distance-left:9pt;mso-wrap-distance-right:9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Przedsięwzięcia WPF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załącznik nr 2 do uchwały nr Uchwała Nr VIII/77/2024 z dnia 2024-11-29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4080" w:right="0" w:firstLine="0"/>
        <w:jc w:val="left"/>
      </w:pPr>
      <w:r>
        <w:rPr>
          <w:color w:val="000000"/>
          <w:spacing w:val="0"/>
          <w:w w:val="100"/>
          <w:position w:val="0"/>
        </w:rPr>
        <w:t>kwoty w zł</w:t>
      </w:r>
    </w:p>
    <w:tbl>
      <w:tblPr>
        <w:tblOverlap w:val="never"/>
        <w:jc w:val="left"/>
        <w:tblLayout w:type="fixed"/>
      </w:tblPr>
      <w:tblGrid>
        <w:gridCol w:w="716"/>
        <w:gridCol w:w="4665"/>
        <w:gridCol w:w="1703"/>
        <w:gridCol w:w="709"/>
        <w:gridCol w:w="709"/>
        <w:gridCol w:w="1133"/>
        <w:gridCol w:w="1136"/>
        <w:gridCol w:w="1133"/>
        <w:gridCol w:w="1133"/>
        <w:gridCol w:w="1144"/>
      </w:tblGrid>
      <w:tr>
        <w:trPr>
          <w:trHeight w:val="57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L.p.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Nazwa i cel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Jednostka odpowiedzialna lub koordynująca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Okres realizacji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Łączne nakłady finansowe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2024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2025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2026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zobowiązań</w:t>
            </w:r>
          </w:p>
        </w:tc>
      </w:tr>
      <w:tr>
        <w:trPr>
          <w:trHeight w:val="570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Do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Wydatki na przedsięwzięcia-ogółem (1.1+1.2+1.3)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27 007 636,44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13 449 716,51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8 851 618,89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11 808 785,19</w:t>
            </w:r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1.a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1 107 248,00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194 000,00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782 748,00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989 748,00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1.b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25 900 388,44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13 255 716,51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8 068 870,89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10 819 037,19</w:t>
            </w:r>
          </w:p>
        </w:tc>
      </w:tr>
      <w:tr>
        <w:trPr>
          <w:trHeight w:val="544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1.1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Wydatki na programy, projekty lub zadania związane z programami realizowanymi z udziałem środków, o których mowa w art.5 ust.1 pkt 2 i 3 ustawy z dnia 27 sierpnia 2009.r. o finansach publicznych (Dz.U.Nr 157, poz.1240,z późn.zm.), z tego: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1.1.1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1.1.2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1.2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Wydatki na programy, projekty lub zadania związane z umowami partnerstwa publiczno-prywatnego, z tego: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1.2.1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1.2.2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18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Wydatki na programy, projekty lub zadania pozostałe (inne niż wymienione w pkt 1.1 i 1.2),z tego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27 007 636,44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13 449 716,51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8 851 618,89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11 808 785,19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1 107 248,00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194 000,00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782 748,00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989 748,00</w:t>
            </w:r>
          </w:p>
        </w:tc>
      </w:tr>
      <w:tr>
        <w:trPr>
          <w:trHeight w:val="3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Program "Czyste powietrze" - wspólnie realizowany z WFOŚiGWw ramach porozumienia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Gmina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65 000,00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18 000,00</w:t>
            </w:r>
          </w:p>
        </w:tc>
      </w:tr>
      <w:tr>
        <w:trPr>
          <w:trHeight w:val="38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Ubezpieczenie majątku i innych interesów Gminy Skąpe wraz z jednostkami organizacyjnymi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282 000,00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141 000,00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70 500,00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211 500,00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Miejscowy Plan Przestrzenny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50 000,00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Plan Ogólny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160 000,00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110 000,00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160 000,00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Cyberbezpieczny samorząd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390 248,00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389 248,00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390 248,00</w:t>
            </w:r>
          </w:p>
        </w:tc>
      </w:tr>
      <w:tr>
        <w:trPr>
          <w:trHeight w:val="28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Roboty budowlane przy kościele w Pało ku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Roboty budowlane przy kościele Rokietnicy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  <w:tr>
        <w:trPr>
          <w:trHeight w:val="3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1.3.1.8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Sporządzenie mpzp Elektrownia wiatrowa i fotowoltaiczna Skąpe, Pałek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160 000,00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160 000,00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160 000,00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</w:t>
            </w: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- wydatki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25 900 388,44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13 255 716,51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8 068 870,89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9C9C9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10 819 037,19</w:t>
            </w:r>
          </w:p>
        </w:tc>
      </w:tr>
      <w:tr>
        <w:trPr>
          <w:trHeight w:val="3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Przebudowa drogi gminnej i powiatowej nr 1205F w m. Pałek - Poprawa bezpieczeństwa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Gmina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3 286 627,00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2 188 467,78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1 098 159,22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49 437,00</w:t>
            </w:r>
          </w:p>
        </w:tc>
      </w:tr>
      <w:tr>
        <w:trPr>
          <w:trHeight w:val="38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Budowa kanalizacji sanitarnej wraz z przyłączeniami w m.Darnawa - poprawa jakości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4 025 181,76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246 300,00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3 778 881,76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4 025 181,76</w:t>
            </w:r>
          </w:p>
        </w:tc>
      </w:tr>
      <w:tr>
        <w:trPr>
          <w:trHeight w:val="5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Budowa Stacji Uzdatniania Wody oraz sieci wodociągowej wraz z systemem pomiarowym na potrzeby zapewnienia dostawy wody pitnej dla turytycznej części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Gmina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5 236 005,42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1 862 872,65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358 883,00</w:t>
            </w:r>
          </w:p>
        </w:tc>
      </w:tr>
      <w:tr>
        <w:trPr>
          <w:trHeight w:val="39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Budowa obiektu pełniącego funkcję remizy strażackiej i świetlicy wiejskiej w m. Niekarzyn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Gmina Skąpe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1 938 516,55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735 848,28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</w:tr>
    </w:tbl>
    <w:p>
      <w:pPr>
        <w:widowControl w:val="0"/>
        <w:spacing w:after="5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  <w:r>
        <w:br w:type="page"/>
      </w:r>
    </w:p>
    <w:tbl>
      <w:tblPr>
        <w:tblOverlap w:val="never"/>
        <w:jc w:val="left"/>
        <w:tblLayout w:type="fixed"/>
      </w:tblPr>
      <w:tblGrid>
        <w:gridCol w:w="710"/>
        <w:gridCol w:w="4670"/>
        <w:gridCol w:w="1699"/>
        <w:gridCol w:w="710"/>
        <w:gridCol w:w="706"/>
        <w:gridCol w:w="1138"/>
        <w:gridCol w:w="1133"/>
        <w:gridCol w:w="1133"/>
        <w:gridCol w:w="1133"/>
        <w:gridCol w:w="1147"/>
      </w:tblGrid>
      <w:tr>
        <w:trPr>
          <w:trHeight w:val="571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L.p.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Nazwa i cel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Jednostka odpowiedzialna lub koordynująca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Okres realizacji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Łączne nakłady finansowe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2024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2025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2026</w:t>
            </w:r>
          </w:p>
        </w:tc>
        <w:tc>
          <w:tcPr>
            <w:vMerge w:val="restart"/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Limit zobowiązań</w:t>
            </w:r>
          </w:p>
        </w:tc>
      </w:tr>
      <w:tr>
        <w:trPr>
          <w:trHeight w:val="566" w:hRule="exact"/>
        </w:trPr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Od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Do</w:t>
            </w:r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FFFFFF"/>
            <w:vAlign w:val="center"/>
          </w:tcPr>
          <w:p>
            <w:pPr/>
          </w:p>
        </w:tc>
        <w:tc>
          <w:tcPr>
            <w:vMerge/>
            <w:tcBorders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/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Przebudowa Infrastruktury drogowej na potrzeby mieszkańców byłych PGR-ów w m.Ołobok, Radoszyn i Zawiszę - Przebudowa Infrastruktury drogowej na potrzeby mieszkańców byłych PGR-ów w m.Ołobok, Radoszyn i Zawiszę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2 257 442,69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2 257 442,69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201 442,69</w:t>
            </w:r>
          </w:p>
        </w:tc>
      </w:tr>
      <w:tr>
        <w:trPr>
          <w:trHeight w:val="3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Budowa Punktu Selektywnego Zbierania Odpadów Komunalnych wraz z zakupem wyposażenia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2 251 548,91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2 251 548,91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2 251 548,91</w:t>
            </w:r>
          </w:p>
        </w:tc>
      </w:tr>
      <w:tr>
        <w:trPr>
          <w:trHeight w:val="38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Przebudowa dróg gminnych i powiatowych Niekarzyn nr 1224F i 1205F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3 014 355,25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1 960 073,49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1 054 281,76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41 832,97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UG Przebudowa drogi gminnej na ul. Słonecznej wraz z przebudową skrzyżowania w m. Ołobok - UG Przebudowa drogi gminnej na ul. Słonecznej wraz z przebudową skrzyżowania w m. Ołobok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1 720 223,58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1 720 223,58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1 720 223,58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Roboty budowlane przy kościele Rokietnicy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191 706,40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3 834,13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187 872,27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191 706,40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Roboty budowlane przy kościele w Pałcku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305 250,12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6 105,00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299 145,12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305 250,12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Roboty budowlane przy pałacu w Rokietnicy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1 150 000,00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23 000,00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1 127 000,00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1 150 000,00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Projekt budowlano wykonawczy oświetlenia Rokietnica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9 840,00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9 840,00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9 840,00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1.3.2.13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Przebudowa dróg gminnych i pow, w m.Węgrzynice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Urząd Gminy Skąpe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color w:val="000000"/>
                <w:spacing w:val="0"/>
                <w:w w:val="100"/>
                <w:position w:val="0"/>
                <w:sz w:val="13"/>
                <w:szCs w:val="13"/>
              </w:rPr>
              <w:t>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513 690,76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513 690,76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2"/>
                <w:szCs w:val="12"/>
              </w:rPr>
            </w:pPr>
            <w:r>
              <w:rPr>
                <w:color w:val="000000"/>
                <w:spacing w:val="0"/>
                <w:w w:val="100"/>
                <w:position w:val="0"/>
                <w:sz w:val="12"/>
                <w:szCs w:val="12"/>
              </w:rPr>
              <w:t>513 690,76</w:t>
            </w:r>
          </w:p>
        </w:tc>
      </w:tr>
    </w:tbl>
    <w:p>
      <w:pPr>
        <w:widowControl w:val="0"/>
        <w:spacing w:after="575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za organ stanowiący Wiesław Zawiślak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8720" w:h="12240" w:orient="landscape"/>
          <w:pgMar w:top="496" w:right="1895" w:bottom="898" w:left="1226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Kopia z dokumentu podpisanego elektronicznie wygenerowana dnia 2024.11.29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280"/>
        <w:jc w:val="left"/>
      </w:pPr>
      <w:r>
        <w:rPr>
          <w:b/>
          <w:bCs/>
          <w:color w:val="000000"/>
          <w:spacing w:val="0"/>
          <w:w w:val="100"/>
          <w:position w:val="0"/>
        </w:rPr>
        <w:t>Załącznik Nr 3 do Uchwały Nr VIII/77/2024 Rady Gminy Skąpe z dnia 29.11.2024</w:t>
      </w:r>
    </w:p>
    <w:p>
      <w:pPr>
        <w:pStyle w:val="Style27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0" w:name="bookmark10"/>
      <w:bookmarkStart w:id="11" w:name="bookmark11"/>
      <w:bookmarkStart w:id="12" w:name="bookmark12"/>
      <w:r>
        <w:rPr>
          <w:color w:val="000000"/>
          <w:spacing w:val="0"/>
          <w:w w:val="100"/>
          <w:position w:val="0"/>
        </w:rPr>
        <w:t>Objaśnienia przyjętych wartości do Wieloletniej</w:t>
        <w:br/>
        <w:t>Prognozy Finansowej Gmina Skąpe na lata 2024-2029</w:t>
      </w:r>
      <w:bookmarkEnd w:id="10"/>
      <w:bookmarkEnd w:id="11"/>
      <w:bookmarkEnd w:id="12"/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Zgodnie ze zmianami w budżecie na dzień 25 listopada 2024 r., dokonano następujących zmian w Wieloletniej Prognozie Finansowej Gmina Skąpe: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17" w:val="left"/>
        </w:tabs>
        <w:bidi w:val="0"/>
        <w:spacing w:before="0"/>
        <w:ind w:left="720" w:right="0" w:hanging="420"/>
        <w:jc w:val="left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Dochody ogółem zmniejszono o 1 049 326,29 zł, z czego dochody bieżące zwiększono o 450 673,71 zł, a dochody majątkowe zmniejszono o 1 500 000,00 zł.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17" w:val="left"/>
        </w:tabs>
        <w:bidi w:val="0"/>
        <w:spacing w:before="0"/>
        <w:ind w:left="720" w:right="0" w:hanging="42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Wydatki ogółem zwiększono o 450 673,71 zł, z czego wydatki bieżące zwiększono o 454 020,63 zł, a wydatki majątkowe zmniejszono o 3 346,92 zł.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17" w:val="left"/>
        </w:tabs>
        <w:bidi w:val="0"/>
        <w:spacing w:before="0"/>
        <w:ind w:left="0" w:right="0" w:firstLine="280"/>
        <w:jc w:val="left"/>
      </w:pPr>
      <w:bookmarkStart w:id="15" w:name="bookmark15"/>
      <w:bookmarkEnd w:id="15"/>
      <w:r>
        <w:rPr>
          <w:color w:val="000000"/>
          <w:spacing w:val="0"/>
          <w:w w:val="100"/>
          <w:position w:val="0"/>
        </w:rPr>
        <w:t>Wynik budżetu jest deficytowy i po zmianach wynosi -4 644 783,36 zł.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Szczegółowe informacje na temat zmian w zakresie dochodów, wydatków i wyniku budżetu w roku budżetowym przedstawiono w tabeli poniżej.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>Tabela 1. Zmiany w dochodach i wydatkach w 2024 roku</w:t>
      </w:r>
    </w:p>
    <w:tbl>
      <w:tblPr>
        <w:tblOverlap w:val="never"/>
        <w:jc w:val="center"/>
        <w:tblLayout w:type="fixed"/>
      </w:tblPr>
      <w:tblGrid>
        <w:gridCol w:w="2269"/>
        <w:gridCol w:w="2269"/>
        <w:gridCol w:w="2273"/>
        <w:gridCol w:w="1380"/>
      </w:tblGrid>
      <w:tr>
        <w:trPr>
          <w:trHeight w:val="25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Wyszczególnienie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Przed zmianą [zł]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Zmiana [zł]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Po zmian!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Dochody ogółem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54 373 662,28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-1 049 326,29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53 3: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Dochody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32 504 229,21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-1-450 673,71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32 9!</w:t>
            </w:r>
          </w:p>
        </w:tc>
      </w:tr>
      <w:tr>
        <w:trPr>
          <w:trHeight w:val="2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Dotacje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5 746 506,21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-1-450 673,71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6 1!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Dochody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21 869 433,07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-1 500 000,00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20 3l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Wydatki ogółem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57 518 445,64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-1-450 673,71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57 9l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33 167 157,39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-1-454 020,63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33 6:</w:t>
            </w:r>
          </w:p>
        </w:tc>
      </w:tr>
      <w:tr>
        <w:trPr>
          <w:trHeight w:val="46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Wynagrodzenia i pochodne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14 246 535,49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+42 259,90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14 21</w:t>
            </w:r>
          </w:p>
        </w:tc>
      </w:tr>
      <w:tr>
        <w:trPr>
          <w:trHeight w:val="461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Pozostałe wydatki bieżące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18 670 621,90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+411 760,73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19 01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Wydatki majątkowe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24 351 288,25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-3 346,92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24 3&lt;</w:t>
            </w:r>
          </w:p>
        </w:tc>
      </w:tr>
      <w:tr>
        <w:trPr>
          <w:trHeight w:val="25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Wynik budżetu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-3 144 783,36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-1 500 000,00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-4 6-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Źródło: opracowanie własne.</w:t>
      </w:r>
    </w:p>
    <w:p>
      <w:pPr>
        <w:widowControl w:val="0"/>
        <w:spacing w:after="15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W Wieloletniej Prognozie Finansowej Gmina Skąpe:</w:t>
      </w:r>
    </w:p>
    <w:p>
      <w:pPr>
        <w:pStyle w:val="Style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17" w:val="left"/>
        </w:tabs>
        <w:bidi w:val="0"/>
        <w:spacing w:before="0"/>
        <w:ind w:left="720" w:right="0" w:hanging="420"/>
        <w:jc w:val="left"/>
      </w:pPr>
      <w:bookmarkStart w:id="16" w:name="bookmark16"/>
      <w:bookmarkEnd w:id="16"/>
      <w:r>
        <w:rPr>
          <w:color w:val="000000"/>
          <w:spacing w:val="0"/>
          <w:w w:val="100"/>
          <w:position w:val="0"/>
        </w:rPr>
        <w:t>Przychody ogółem w roku budżetowym zwiększono o 1 500 000,00 zł, w tym przychody z tytułu kredytów, pożyczek lub emisji papierów wartościowych zwiększono o 1 500 000,00 zł.</w:t>
      </w:r>
    </w:p>
    <w:p>
      <w:pPr>
        <w:pStyle w:val="Style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17" w:val="left"/>
        </w:tabs>
        <w:bidi w:val="0"/>
        <w:spacing w:before="0" w:line="240" w:lineRule="auto"/>
        <w:ind w:left="0" w:right="0" w:firstLine="280"/>
        <w:jc w:val="left"/>
      </w:pPr>
      <w:bookmarkStart w:id="17" w:name="bookmark17"/>
      <w:bookmarkEnd w:id="17"/>
      <w:r>
        <w:rPr>
          <w:color w:val="000000"/>
          <w:spacing w:val="0"/>
          <w:w w:val="100"/>
          <w:position w:val="0"/>
        </w:rPr>
        <w:t>Rozchody ogółem w roku budżetowym nie uległy zmianie.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Szczegółowe informacje na temat zmian w zakresie przychodów i rozchodów w roku budżetowym przedstawiono w tabeli poniżej.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Tabela 2. Zmiany w przychodach i rozchodach na 2024 rok.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u w:val="single"/>
        </w:rPr>
        <w:t>j Wyszczególnienie | Przed zmianą [zł] | Zmiana [zł] | Po zmian!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2269"/>
        <w:gridCol w:w="2269"/>
        <w:gridCol w:w="2273"/>
        <w:gridCol w:w="1380"/>
      </w:tblGrid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Przychody budżetu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4 185 523,36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+1 500 000,00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5 6!</w:t>
            </w:r>
          </w:p>
        </w:tc>
      </w:tr>
      <w:tr>
        <w:trPr>
          <w:trHeight w:val="69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Kredyty, pożyczki, emisja papierów wartościowych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1 500 000,00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+1 500 000,00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3 Ol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Źródło: opracowanie własne.</w:t>
      </w:r>
    </w:p>
    <w:p>
      <w:pPr>
        <w:widowControl w:val="0"/>
        <w:spacing w:after="299" w:line="1" w:lineRule="exact"/>
      </w:pPr>
    </w:p>
    <w:tbl>
      <w:tblPr>
        <w:tblOverlap w:val="never"/>
        <w:jc w:val="center"/>
        <w:tblLayout w:type="fixed"/>
      </w:tblPr>
      <w:tblGrid>
        <w:gridCol w:w="2269"/>
        <w:gridCol w:w="2258"/>
        <w:gridCol w:w="2284"/>
        <w:gridCol w:w="1380"/>
      </w:tblGrid>
      <w:tr>
        <w:trPr>
          <w:trHeight w:val="225" w:hRule="exact"/>
        </w:trPr>
        <w:tc>
          <w:tcPr>
            <w:gridSpan w:val="2"/>
            <w:tcBorders/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Tabela 3. Zmiany w rozchodach zwrotnych w o</w:t>
            </w:r>
          </w:p>
        </w:tc>
        <w:tc>
          <w:tcPr>
            <w:gridSpan w:val="2"/>
            <w:tcBorders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kresie prognozy WPF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Rok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Przed zmianą [zł]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Zmiana [zł]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Po zmiani</w:t>
            </w:r>
          </w:p>
        </w:tc>
      </w:tr>
      <w:tr>
        <w:trPr>
          <w:trHeight w:val="23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40 740,00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+1 000 000,00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 0-</w:t>
            </w:r>
          </w:p>
        </w:tc>
      </w:tr>
      <w:tr>
        <w:trPr>
          <w:trHeight w:val="24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40 740,00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+500 000,00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5-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Źródło: opracowanie własne.</w:t>
      </w:r>
    </w:p>
    <w:p>
      <w:pPr>
        <w:widowControl w:val="0"/>
        <w:spacing w:after="13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Zmiany w Wieloletniej Prognozie Finansowej Gmina Skąpe na lata 2024-2029 spowodowały modyfikacje w kształtowaniu się relacji z art. 243 ustawy o finansach publicznych. Szczegóły zaprezentowano w tabeli poniżej.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b/>
          <w:bCs/>
          <w:color w:val="000000"/>
          <w:spacing w:val="0"/>
          <w:w w:val="100"/>
          <w:position w:val="0"/>
          <w:sz w:val="18"/>
          <w:szCs w:val="18"/>
        </w:rPr>
        <w:t>Tabela 4. Kształtowanie się relacji z art. 243 ust. 1 ustawy o finansach publicznych</w:t>
      </w:r>
    </w:p>
    <w:tbl>
      <w:tblPr>
        <w:tblOverlap w:val="never"/>
        <w:jc w:val="center"/>
        <w:tblLayout w:type="fixed"/>
      </w:tblPr>
      <w:tblGrid>
        <w:gridCol w:w="825"/>
        <w:gridCol w:w="1646"/>
        <w:gridCol w:w="1673"/>
        <w:gridCol w:w="1628"/>
        <w:gridCol w:w="1654"/>
        <w:gridCol w:w="765"/>
      </w:tblGrid>
      <w:tr>
        <w:trPr>
          <w:trHeight w:val="1189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Rok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Obsługa zadłużenia (fakt, i plan, po wyłączeniach)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Maksymalna obsługa zadłużenia (wg planu po III kwartale)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Zachowanie relacji z art. 243 (w oparciu o plan po III kwartale)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Maksymalna obsługa zadłużenia (wg wykonania)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center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Zach relacji: (w op wykc</w:t>
            </w:r>
          </w:p>
        </w:tc>
      </w:tr>
      <w:tr>
        <w:trPr>
          <w:trHeight w:val="2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4,82%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20,00%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23,12%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  <w:tr>
        <w:trPr>
          <w:trHeight w:val="233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6,43%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19,56%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22,68%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  <w:tr>
        <w:trPr>
          <w:trHeight w:val="2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3,77%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11,10%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14,63%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  <w:tr>
        <w:trPr>
          <w:trHeight w:val="2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3,54%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8,98%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12,51%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  <w:tr>
        <w:trPr>
          <w:trHeight w:val="236" w:hRule="exact"/>
        </w:trPr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2,00%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7,11%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10,63%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FFFFFF"/>
            <w:vAlign w:val="top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2029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1,81%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5,13%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TAK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8,66%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FFFFFF"/>
            <w:vAlign w:val="bottom"/>
          </w:tcPr>
          <w:p>
            <w:pPr>
              <w:pStyle w:val="Style1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T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000000"/>
          <w:spacing w:val="0"/>
          <w:w w:val="100"/>
          <w:position w:val="0"/>
          <w:sz w:val="18"/>
          <w:szCs w:val="18"/>
        </w:rPr>
        <w:t>Źródło: Opracowanie własne.</w:t>
      </w:r>
    </w:p>
    <w:p>
      <w:pPr>
        <w:widowControl w:val="0"/>
        <w:spacing w:after="13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Dane w tabeli powyżej wskazują, że w całym okresie prognozy Gmina Skąpe spełnia relację, o której mowa w art. 243 ust. 1 ustawy o finansach publicznych. Spełnienie dotyczy zarówno relacji obliczonej na podstawie planu na dzień 30.09.2023 r. jak i w oparciu o dane z wykonania budżetu.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40" w:line="26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Pełen zakres zmian obrazuje załącznik nr 1 do niniejszej uchwały.</w:t>
      </w:r>
    </w:p>
    <w:sectPr>
      <w:footnotePr>
        <w:pos w:val="pageBottom"/>
        <w:numFmt w:val="decimal"/>
        <w:numRestart w:val="continuous"/>
      </w:footnotePr>
      <w:pgSz w:w="12240" w:h="18720"/>
      <w:pgMar w:top="3131" w:right="2001" w:bottom="4192" w:left="2006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</w:rPr>
    </w:lvl>
  </w:abstractNum>
  <w:abstractNum w:abstractNumId="2">
    <w:multiLevelType w:val="multilevel"/>
    <w:lvl w:ilvl="0">
      <w:start w:val="1"/>
      <w:numFmt w:val="decimal"/>
      <w:lvlText w:val="%1.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</w:rPr>
    </w:lvl>
  </w:abstractNum>
  <w:abstractNum w:abstractNumId="4">
    <w:multiLevelType w:val="multilevel"/>
    <w:lvl w:ilvl="0">
      <w:start w:val="1"/>
      <w:numFmt w:val="decimal"/>
      <w:lvlText w:val="%1.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Body text|1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shd w:val="clear" w:color="auto" w:fill="auto"/>
    </w:rPr>
  </w:style>
  <w:style w:type="character" w:customStyle="1" w:styleId="CharStyle5">
    <w:name w:val="Body text|2_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CharStyle10">
    <w:name w:val="Heading #3|1_"/>
    <w:basedOn w:val="DefaultParagraphFont"/>
    <w:link w:val="Style9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harStyle12">
    <w:name w:val="Body text|3_"/>
    <w:basedOn w:val="DefaultParagraphFont"/>
    <w:link w:val="Style11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character" w:customStyle="1" w:styleId="CharStyle14">
    <w:name w:val="Body text|4_"/>
    <w:basedOn w:val="DefaultParagraphFont"/>
    <w:link w:val="Style13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arStyle16">
    <w:name w:val="Heading #2|1_"/>
    <w:basedOn w:val="DefaultParagraphFont"/>
    <w:link w:val="Style15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arStyle18">
    <w:name w:val="Table caption|1_"/>
    <w:basedOn w:val="DefaultParagraphFont"/>
    <w:link w:val="Style17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shd w:val="clear" w:color="auto" w:fill="auto"/>
    </w:rPr>
  </w:style>
  <w:style w:type="character" w:customStyle="1" w:styleId="CharStyle20">
    <w:name w:val="Other|1_"/>
    <w:basedOn w:val="DefaultParagraphFont"/>
    <w:link w:val="Style19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  <w:shd w:val="clear" w:color="auto" w:fill="auto"/>
    </w:rPr>
  </w:style>
  <w:style w:type="character" w:customStyle="1" w:styleId="CharStyle28">
    <w:name w:val="Heading #1|1_"/>
    <w:basedOn w:val="DefaultParagraphFont"/>
    <w:link w:val="Style27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Style2">
    <w:name w:val="Body text|1"/>
    <w:basedOn w:val="Normal"/>
    <w:link w:val="CharStyle3"/>
    <w:pPr>
      <w:widowControl w:val="0"/>
      <w:shd w:val="clear" w:color="auto" w:fill="auto"/>
      <w:spacing w:after="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shd w:val="clear" w:color="auto" w:fill="auto"/>
    </w:rPr>
  </w:style>
  <w:style w:type="paragraph" w:customStyle="1" w:styleId="Style4">
    <w:name w:val="Body text|2"/>
    <w:basedOn w:val="Normal"/>
    <w:link w:val="CharStyle5"/>
    <w:pPr>
      <w:widowControl w:val="0"/>
      <w:shd w:val="clear" w:color="auto" w:fill="auto"/>
      <w:spacing w:after="160" w:line="262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Style9">
    <w:name w:val="Heading #3|1"/>
    <w:basedOn w:val="Normal"/>
    <w:link w:val="CharStyle10"/>
    <w:pPr>
      <w:widowControl w:val="0"/>
      <w:shd w:val="clear" w:color="auto" w:fill="auto"/>
      <w:spacing w:after="2970"/>
      <w:ind w:right="620"/>
      <w:jc w:val="right"/>
      <w:outlineLvl w:val="2"/>
    </w:pPr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11">
    <w:name w:val="Body text|3"/>
    <w:basedOn w:val="Normal"/>
    <w:link w:val="CharStyle12"/>
    <w:pPr>
      <w:widowControl w:val="0"/>
      <w:shd w:val="clear" w:color="auto" w:fill="auto"/>
      <w:spacing w:after="260" w:line="300" w:lineRule="auto"/>
      <w:ind w:left="5930"/>
      <w:jc w:val="right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paragraph" w:customStyle="1" w:styleId="Style13">
    <w:name w:val="Body text|4"/>
    <w:basedOn w:val="Normal"/>
    <w:link w:val="CharStyle14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Style15">
    <w:name w:val="Heading #2|1"/>
    <w:basedOn w:val="Normal"/>
    <w:link w:val="CharStyle16"/>
    <w:pPr>
      <w:widowControl w:val="0"/>
      <w:shd w:val="clear" w:color="auto" w:fill="auto"/>
      <w:outlineLvl w:val="1"/>
    </w:pPr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Style17">
    <w:name w:val="Table caption|1"/>
    <w:basedOn w:val="Normal"/>
    <w:link w:val="CharStyle18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shd w:val="clear" w:color="auto" w:fill="auto"/>
    </w:rPr>
  </w:style>
  <w:style w:type="paragraph" w:customStyle="1" w:styleId="Style19">
    <w:name w:val="Other|1"/>
    <w:basedOn w:val="Normal"/>
    <w:link w:val="CharStyle20"/>
    <w:pPr>
      <w:widowControl w:val="0"/>
      <w:shd w:val="clear" w:color="auto" w:fill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  <w:shd w:val="clear" w:color="auto" w:fill="auto"/>
    </w:rPr>
  </w:style>
  <w:style w:type="paragraph" w:customStyle="1" w:styleId="Style27">
    <w:name w:val="Heading #1|1"/>
    <w:basedOn w:val="Normal"/>
    <w:link w:val="CharStyle28"/>
    <w:pPr>
      <w:widowControl w:val="0"/>
      <w:shd w:val="clear" w:color="auto" w:fill="auto"/>
      <w:spacing w:after="320"/>
      <w:jc w:val="center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