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772" w:rsidRPr="003A4772" w:rsidRDefault="003A4772" w:rsidP="003A4772">
      <w:pPr>
        <w:spacing w:line="240" w:lineRule="auto"/>
        <w:jc w:val="both"/>
        <w:outlineLvl w:val="0"/>
        <w:rPr>
          <w:rFonts w:eastAsia="Times New Roman" w:cstheme="minorHAnsi"/>
          <w:b/>
          <w:bCs/>
          <w:kern w:val="36"/>
          <w:sz w:val="20"/>
          <w:szCs w:val="20"/>
          <w:lang w:eastAsia="pl-PL"/>
        </w:rPr>
      </w:pPr>
      <w:r w:rsidRPr="003A4772">
        <w:rPr>
          <w:rFonts w:eastAsia="Times New Roman" w:cstheme="minorHAnsi"/>
          <w:b/>
          <w:bCs/>
          <w:kern w:val="36"/>
          <w:sz w:val="20"/>
          <w:szCs w:val="20"/>
          <w:lang w:eastAsia="pl-PL"/>
        </w:rPr>
        <w:t>OBOWIĄZEK INFORMACYJNY</w:t>
      </w:r>
    </w:p>
    <w:p w:rsidR="003A4772" w:rsidRPr="003A4772" w:rsidRDefault="003A4772" w:rsidP="003A4772">
      <w:pPr>
        <w:spacing w:line="240" w:lineRule="auto"/>
        <w:jc w:val="both"/>
        <w:rPr>
          <w:rFonts w:eastAsia="Times New Roman" w:cstheme="minorHAnsi"/>
          <w:sz w:val="20"/>
          <w:szCs w:val="20"/>
          <w:lang w:eastAsia="pl-PL"/>
        </w:rPr>
      </w:pPr>
      <w:r w:rsidRPr="003A4772">
        <w:rPr>
          <w:rFonts w:eastAsia="Times New Roman" w:cstheme="minorHAnsi"/>
          <w:sz w:val="20"/>
          <w:szCs w:val="20"/>
          <w:lang w:eastAsia="pl-PL"/>
        </w:rPr>
        <w:t>W związku z realizacją wymogów rozporządzenia Parlamentu Europejskiego i Rady (UE) 2016/679 z dnia 27 kwietnia 2016 r. (RODO) uprzejmie informujemy, iż:</w:t>
      </w:r>
    </w:p>
    <w:p w:rsidR="003A4772" w:rsidRDefault="003A4772" w:rsidP="003A4772">
      <w:pPr>
        <w:spacing w:after="0" w:line="240" w:lineRule="auto"/>
        <w:jc w:val="both"/>
        <w:rPr>
          <w:rFonts w:eastAsia="Times New Roman" w:cstheme="minorHAnsi"/>
          <w:sz w:val="20"/>
          <w:szCs w:val="20"/>
          <w:lang w:eastAsia="pl-PL"/>
        </w:rPr>
      </w:pPr>
      <w:r>
        <w:rPr>
          <w:rFonts w:eastAsia="Times New Roman" w:cstheme="minorHAnsi"/>
          <w:b/>
          <w:bCs/>
          <w:sz w:val="20"/>
          <w:szCs w:val="20"/>
          <w:lang w:eastAsia="pl-PL"/>
        </w:rPr>
        <w:t>Administrator Danych Osobowych</w:t>
      </w:r>
    </w:p>
    <w:p w:rsidR="003A4772" w:rsidRDefault="003A4772" w:rsidP="003A4772">
      <w:pPr>
        <w:numPr>
          <w:ilvl w:val="0"/>
          <w:numId w:val="1"/>
        </w:numPr>
        <w:tabs>
          <w:tab w:val="clear" w:pos="720"/>
          <w:tab w:val="num" w:pos="360"/>
        </w:tabs>
        <w:spacing w:line="240" w:lineRule="auto"/>
        <w:ind w:left="0"/>
        <w:jc w:val="both"/>
        <w:rPr>
          <w:rFonts w:eastAsia="Times New Roman" w:cstheme="minorHAnsi"/>
          <w:sz w:val="20"/>
          <w:szCs w:val="20"/>
          <w:lang w:eastAsia="pl-PL"/>
        </w:rPr>
      </w:pPr>
      <w:r w:rsidRPr="003A4772">
        <w:rPr>
          <w:rFonts w:eastAsia="Times New Roman" w:cstheme="minorHAnsi"/>
          <w:sz w:val="20"/>
          <w:szCs w:val="20"/>
          <w:lang w:eastAsia="pl-PL"/>
        </w:rPr>
        <w:t>Administratorem Państwa danych osobowych jest Dyrektor Powiatowego Szkolnego Schroniska Młodzieżowego w Chęcinach reprezentowane przez Dyrektora jednostki, z siedzibą przy ul. Biał</w:t>
      </w:r>
      <w:r w:rsidR="0033137A">
        <w:rPr>
          <w:rFonts w:eastAsia="Times New Roman" w:cstheme="minorHAnsi"/>
          <w:sz w:val="20"/>
          <w:szCs w:val="20"/>
          <w:lang w:eastAsia="pl-PL"/>
        </w:rPr>
        <w:t xml:space="preserve">ego Zagłębia 1, 26-060 Chęciny. </w:t>
      </w:r>
      <w:r w:rsidRPr="003A4772">
        <w:rPr>
          <w:rFonts w:eastAsia="Times New Roman" w:cstheme="minorHAnsi"/>
          <w:sz w:val="20"/>
          <w:szCs w:val="20"/>
          <w:lang w:eastAsia="pl-PL"/>
        </w:rPr>
        <w:t>W przypadku pytań dotyczących przetwarzania danych osobowych</w:t>
      </w:r>
      <w:r w:rsidR="0033137A">
        <w:rPr>
          <w:rFonts w:eastAsia="Times New Roman" w:cstheme="minorHAnsi"/>
          <w:sz w:val="20"/>
          <w:szCs w:val="20"/>
          <w:lang w:eastAsia="pl-PL"/>
        </w:rPr>
        <w:t xml:space="preserve"> mogą Państwo kontaktować się z </w:t>
      </w:r>
      <w:r w:rsidRPr="003A4772">
        <w:rPr>
          <w:rFonts w:eastAsia="Times New Roman" w:cstheme="minorHAnsi"/>
          <w:sz w:val="20"/>
          <w:szCs w:val="20"/>
          <w:lang w:eastAsia="pl-PL"/>
        </w:rPr>
        <w:t>Inspektorem Ochrony Danych, pisząc na adres e-mail: iod@powiat.kielce.pl.</w:t>
      </w:r>
    </w:p>
    <w:p w:rsidR="0033137A" w:rsidRDefault="003A4772" w:rsidP="0033137A">
      <w:pPr>
        <w:numPr>
          <w:ilvl w:val="0"/>
          <w:numId w:val="1"/>
        </w:numPr>
        <w:tabs>
          <w:tab w:val="clear" w:pos="720"/>
          <w:tab w:val="num" w:pos="360"/>
        </w:tabs>
        <w:spacing w:after="0" w:line="240" w:lineRule="auto"/>
        <w:ind w:left="0"/>
        <w:jc w:val="both"/>
        <w:rPr>
          <w:rFonts w:eastAsia="Times New Roman" w:cstheme="minorHAnsi"/>
          <w:sz w:val="20"/>
          <w:szCs w:val="20"/>
          <w:lang w:eastAsia="pl-PL"/>
        </w:rPr>
      </w:pPr>
      <w:r w:rsidRPr="003A4772">
        <w:rPr>
          <w:rFonts w:eastAsia="Times New Roman" w:cstheme="minorHAnsi"/>
          <w:b/>
          <w:bCs/>
          <w:sz w:val="20"/>
          <w:szCs w:val="20"/>
          <w:lang w:eastAsia="pl-PL"/>
        </w:rPr>
        <w:t>Podstawa i cele przetwarzania</w:t>
      </w:r>
    </w:p>
    <w:p w:rsidR="003A4772" w:rsidRPr="0033137A" w:rsidRDefault="003A4772" w:rsidP="0033137A">
      <w:pPr>
        <w:spacing w:line="240" w:lineRule="auto"/>
        <w:jc w:val="both"/>
        <w:rPr>
          <w:rFonts w:eastAsia="Times New Roman" w:cstheme="minorHAnsi"/>
          <w:sz w:val="20"/>
          <w:szCs w:val="20"/>
          <w:lang w:eastAsia="pl-PL"/>
        </w:rPr>
      </w:pPr>
      <w:r w:rsidRPr="003A4772">
        <w:rPr>
          <w:rFonts w:eastAsia="Times New Roman" w:cstheme="minorHAnsi"/>
          <w:sz w:val="20"/>
          <w:szCs w:val="20"/>
          <w:lang w:eastAsia="pl-PL"/>
        </w:rPr>
        <w:t>Państwa dane osobowe będą przetwarzane wyłącznie w celu i w zakresie niezbędnym do realizacji zadań statutowych i administracyjnych Schroniska, w szczególności: obsługi wychowanków, realizacji umów, prowadzenia bieżącej dokumentacji, wypełniania obowiązków wynikających z przepisów prawa oraz realizacji innych celów wskazanych przy zbieraniu danych. Przetwarzanie odbywa się na następujących podstawach prawnych:</w:t>
      </w:r>
      <w:r w:rsidRPr="003A4772">
        <w:rPr>
          <w:rFonts w:eastAsia="Times New Roman" w:cstheme="minorHAnsi"/>
          <w:sz w:val="20"/>
          <w:szCs w:val="20"/>
          <w:lang w:eastAsia="pl-PL"/>
        </w:rPr>
        <w:br/>
        <w:t>a) obowiązujące przepisy prawa (np. przepisy administracyjne, księgowe, archiwalne) — art. 6 ust. 1 lit. c RODO;</w:t>
      </w:r>
      <w:r w:rsidRPr="003A4772">
        <w:rPr>
          <w:rFonts w:eastAsia="Times New Roman" w:cstheme="minorHAnsi"/>
          <w:sz w:val="20"/>
          <w:szCs w:val="20"/>
          <w:lang w:eastAsia="pl-PL"/>
        </w:rPr>
        <w:br/>
        <w:t>b) zawarte umowy oraz działania przed zawarciem umowy — art. 6 ust. 1 lit. b RODO;</w:t>
      </w:r>
      <w:r w:rsidRPr="003A4772">
        <w:rPr>
          <w:rFonts w:eastAsia="Times New Roman" w:cstheme="minorHAnsi"/>
          <w:sz w:val="20"/>
          <w:szCs w:val="20"/>
          <w:lang w:eastAsia="pl-PL"/>
        </w:rPr>
        <w:br/>
        <w:t>c) wyrażona przez Państwa zgoda — art. 6 ust. 1 lit. a RODO (</w:t>
      </w:r>
      <w:r w:rsidRPr="0033137A">
        <w:rPr>
          <w:rFonts w:eastAsia="Times New Roman" w:cstheme="minorHAnsi"/>
          <w:sz w:val="20"/>
          <w:szCs w:val="20"/>
          <w:lang w:eastAsia="pl-PL"/>
        </w:rPr>
        <w:t>tam, gdzie jest ona stosowana);</w:t>
      </w:r>
    </w:p>
    <w:p w:rsidR="0033137A" w:rsidRDefault="003A4772" w:rsidP="0033137A">
      <w:pPr>
        <w:numPr>
          <w:ilvl w:val="0"/>
          <w:numId w:val="1"/>
        </w:numPr>
        <w:tabs>
          <w:tab w:val="clear" w:pos="720"/>
          <w:tab w:val="num" w:pos="360"/>
        </w:tabs>
        <w:spacing w:after="0" w:line="240" w:lineRule="auto"/>
        <w:ind w:left="0"/>
        <w:jc w:val="both"/>
        <w:rPr>
          <w:rFonts w:eastAsia="Times New Roman" w:cstheme="minorHAnsi"/>
          <w:sz w:val="20"/>
          <w:szCs w:val="20"/>
          <w:lang w:eastAsia="pl-PL"/>
        </w:rPr>
      </w:pPr>
      <w:r w:rsidRPr="003A4772">
        <w:rPr>
          <w:rFonts w:eastAsia="Times New Roman" w:cstheme="minorHAnsi"/>
          <w:b/>
          <w:bCs/>
          <w:sz w:val="20"/>
          <w:szCs w:val="20"/>
          <w:lang w:eastAsia="pl-PL"/>
        </w:rPr>
        <w:t>Prawa osób, których dane dotyczą</w:t>
      </w:r>
    </w:p>
    <w:p w:rsidR="0033137A" w:rsidRDefault="003A4772" w:rsidP="0033137A">
      <w:pPr>
        <w:tabs>
          <w:tab w:val="num" w:pos="360"/>
        </w:tabs>
        <w:spacing w:line="240" w:lineRule="auto"/>
        <w:rPr>
          <w:rFonts w:eastAsia="Times New Roman" w:cstheme="minorHAnsi"/>
          <w:sz w:val="20"/>
          <w:szCs w:val="20"/>
          <w:lang w:eastAsia="pl-PL"/>
        </w:rPr>
      </w:pPr>
      <w:r w:rsidRPr="003A4772">
        <w:rPr>
          <w:rFonts w:eastAsia="Times New Roman" w:cstheme="minorHAnsi"/>
          <w:sz w:val="20"/>
          <w:szCs w:val="20"/>
          <w:lang w:eastAsia="pl-PL"/>
        </w:rPr>
        <w:t>a) prawo dostępu do treści swoich danych oraz otrzymania ich kopii (art. 15 RODO);</w:t>
      </w:r>
      <w:r w:rsidRPr="003A4772">
        <w:rPr>
          <w:rFonts w:eastAsia="Times New Roman" w:cstheme="minorHAnsi"/>
          <w:sz w:val="20"/>
          <w:szCs w:val="20"/>
          <w:lang w:eastAsia="pl-PL"/>
        </w:rPr>
        <w:br/>
        <w:t>b) prawo do sprostowania danych (art. 16 RODO);</w:t>
      </w:r>
      <w:r w:rsidRPr="003A4772">
        <w:rPr>
          <w:rFonts w:eastAsia="Times New Roman" w:cstheme="minorHAnsi"/>
          <w:sz w:val="20"/>
          <w:szCs w:val="20"/>
          <w:lang w:eastAsia="pl-PL"/>
        </w:rPr>
        <w:br/>
        <w:t>c) prawo do usunięcia danych („prawo do bycia zapomnianym”) w przypadkach określonych w art. 17 RODO;</w:t>
      </w:r>
      <w:r w:rsidRPr="003A4772">
        <w:rPr>
          <w:rFonts w:eastAsia="Times New Roman" w:cstheme="minorHAnsi"/>
          <w:sz w:val="20"/>
          <w:szCs w:val="20"/>
          <w:lang w:eastAsia="pl-PL"/>
        </w:rPr>
        <w:br/>
        <w:t>d) prawo do ograniczenia przetwarzania (art. 18 RODO);</w:t>
      </w:r>
      <w:r w:rsidRPr="003A4772">
        <w:rPr>
          <w:rFonts w:eastAsia="Times New Roman" w:cstheme="minorHAnsi"/>
          <w:sz w:val="20"/>
          <w:szCs w:val="20"/>
          <w:lang w:eastAsia="pl-PL"/>
        </w:rPr>
        <w:br/>
        <w:t>e) prawo do przenoszenia danych, jeżeli przetwarzanie odbywa się na podstawie zgody lub umowy oraz jest zautomatyzowane (art. 20 RODO);</w:t>
      </w:r>
      <w:r w:rsidRPr="003A4772">
        <w:rPr>
          <w:rFonts w:eastAsia="Times New Roman" w:cstheme="minorHAnsi"/>
          <w:sz w:val="20"/>
          <w:szCs w:val="20"/>
          <w:lang w:eastAsia="pl-PL"/>
        </w:rPr>
        <w:br/>
        <w:t>f) prawo wniesienia sprzeciwu wobec przetwarzania danych w oparciu o art</w:t>
      </w:r>
      <w:r w:rsidR="0033137A">
        <w:rPr>
          <w:rFonts w:eastAsia="Times New Roman" w:cstheme="minorHAnsi"/>
          <w:sz w:val="20"/>
          <w:szCs w:val="20"/>
          <w:lang w:eastAsia="pl-PL"/>
        </w:rPr>
        <w:t>. 6 ust. 1 lit. e lub f i art. 21 RODO, z </w:t>
      </w:r>
      <w:r w:rsidRPr="003A4772">
        <w:rPr>
          <w:rFonts w:eastAsia="Times New Roman" w:cstheme="minorHAnsi"/>
          <w:sz w:val="20"/>
          <w:szCs w:val="20"/>
          <w:lang w:eastAsia="pl-PL"/>
        </w:rPr>
        <w:t>przyczyn związanych z Państwa szczególną sytuacją (art. 21 RODO);</w:t>
      </w:r>
      <w:r w:rsidRPr="003A4772">
        <w:rPr>
          <w:rFonts w:eastAsia="Times New Roman" w:cstheme="minorHAnsi"/>
          <w:sz w:val="20"/>
          <w:szCs w:val="20"/>
          <w:lang w:eastAsia="pl-PL"/>
        </w:rPr>
        <w:br/>
        <w:t>g) prawo do cofnięcia zgody w dowolnym momencie — cofnięcie zgody nie wpływa na zgodność z prawem przetwarzania dokonanego</w:t>
      </w:r>
      <w:r w:rsidR="0033137A">
        <w:rPr>
          <w:rFonts w:eastAsia="Times New Roman" w:cstheme="minorHAnsi"/>
          <w:sz w:val="20"/>
          <w:szCs w:val="20"/>
          <w:lang w:eastAsia="pl-PL"/>
        </w:rPr>
        <w:t xml:space="preserve"> przed cofnięciem (art. 7 RODO);</w:t>
      </w:r>
    </w:p>
    <w:p w:rsidR="0033137A" w:rsidRPr="0033137A" w:rsidRDefault="003A4772" w:rsidP="0033137A">
      <w:pPr>
        <w:pStyle w:val="Akapitzlist"/>
        <w:numPr>
          <w:ilvl w:val="0"/>
          <w:numId w:val="1"/>
        </w:numPr>
        <w:tabs>
          <w:tab w:val="clear" w:pos="720"/>
          <w:tab w:val="num" w:pos="360"/>
        </w:tabs>
        <w:spacing w:line="240" w:lineRule="auto"/>
        <w:ind w:left="0"/>
        <w:jc w:val="both"/>
        <w:rPr>
          <w:rFonts w:eastAsia="Times New Roman" w:cstheme="minorHAnsi"/>
          <w:sz w:val="20"/>
          <w:szCs w:val="20"/>
          <w:lang w:eastAsia="pl-PL"/>
        </w:rPr>
      </w:pPr>
      <w:r w:rsidRPr="0033137A">
        <w:rPr>
          <w:rFonts w:eastAsia="Times New Roman" w:cstheme="minorHAnsi"/>
          <w:b/>
          <w:bCs/>
          <w:sz w:val="20"/>
          <w:szCs w:val="20"/>
          <w:lang w:eastAsia="pl-PL"/>
        </w:rPr>
        <w:t>Obowiązek podania danych</w:t>
      </w:r>
    </w:p>
    <w:p w:rsidR="003A4772" w:rsidRPr="0033137A" w:rsidRDefault="003A4772" w:rsidP="0033137A">
      <w:pPr>
        <w:pStyle w:val="Akapitzlist"/>
        <w:tabs>
          <w:tab w:val="num" w:pos="360"/>
        </w:tabs>
        <w:spacing w:line="240" w:lineRule="auto"/>
        <w:ind w:left="0"/>
        <w:jc w:val="both"/>
        <w:rPr>
          <w:rFonts w:eastAsia="Times New Roman" w:cstheme="minorHAnsi"/>
          <w:sz w:val="20"/>
          <w:szCs w:val="20"/>
          <w:lang w:eastAsia="pl-PL"/>
        </w:rPr>
      </w:pPr>
      <w:r w:rsidRPr="0033137A">
        <w:rPr>
          <w:rFonts w:eastAsia="Times New Roman" w:cstheme="minorHAnsi"/>
          <w:sz w:val="20"/>
          <w:szCs w:val="20"/>
          <w:lang w:eastAsia="pl-PL"/>
        </w:rPr>
        <w:t>Podanie przez Państwa danych może być wymagane przepisami prawa lub niezbędne do wykonania zawartej umowy. Brak podania danych, gdy są one wymagane przez przepisy prawa lub umowę, może skutkować niemożliwością realizacji określonych usług lub czynności. Jeżeli podstawą przetwarzania jest Państwa zgoda — podanie danych jest dobrowolne</w:t>
      </w:r>
      <w:r w:rsidR="0033137A">
        <w:rPr>
          <w:rFonts w:eastAsia="Times New Roman" w:cstheme="minorHAnsi"/>
          <w:sz w:val="20"/>
          <w:szCs w:val="20"/>
          <w:lang w:eastAsia="pl-PL"/>
        </w:rPr>
        <w:t>;</w:t>
      </w:r>
      <w:r w:rsidRPr="0033137A">
        <w:rPr>
          <w:rFonts w:eastAsia="Times New Roman" w:cstheme="minorHAnsi"/>
          <w:sz w:val="20"/>
          <w:szCs w:val="20"/>
          <w:lang w:eastAsia="pl-PL"/>
        </w:rPr>
        <w:t xml:space="preserve"> </w:t>
      </w:r>
    </w:p>
    <w:p w:rsidR="0033137A" w:rsidRPr="0033137A" w:rsidRDefault="003A4772" w:rsidP="0033137A">
      <w:pPr>
        <w:numPr>
          <w:ilvl w:val="0"/>
          <w:numId w:val="1"/>
        </w:numPr>
        <w:tabs>
          <w:tab w:val="clear" w:pos="720"/>
          <w:tab w:val="num" w:pos="360"/>
        </w:tabs>
        <w:spacing w:after="0" w:line="240" w:lineRule="auto"/>
        <w:ind w:left="0"/>
        <w:jc w:val="both"/>
        <w:rPr>
          <w:rFonts w:eastAsia="Times New Roman" w:cstheme="minorHAnsi"/>
          <w:sz w:val="20"/>
          <w:szCs w:val="20"/>
          <w:lang w:eastAsia="pl-PL"/>
        </w:rPr>
      </w:pPr>
      <w:r w:rsidRPr="003A4772">
        <w:rPr>
          <w:rFonts w:eastAsia="Times New Roman" w:cstheme="minorHAnsi"/>
          <w:b/>
          <w:bCs/>
          <w:sz w:val="20"/>
          <w:szCs w:val="20"/>
          <w:lang w:eastAsia="pl-PL"/>
        </w:rPr>
        <w:t>Okres przechowywania danych</w:t>
      </w:r>
    </w:p>
    <w:p w:rsidR="003A4772" w:rsidRDefault="003A4772" w:rsidP="0033137A">
      <w:pPr>
        <w:spacing w:line="240" w:lineRule="auto"/>
        <w:jc w:val="both"/>
        <w:rPr>
          <w:rFonts w:eastAsia="Times New Roman" w:cstheme="minorHAnsi"/>
          <w:sz w:val="20"/>
          <w:szCs w:val="20"/>
          <w:lang w:eastAsia="pl-PL"/>
        </w:rPr>
      </w:pPr>
      <w:r w:rsidRPr="003A4772">
        <w:rPr>
          <w:rFonts w:eastAsia="Times New Roman" w:cstheme="minorHAnsi"/>
          <w:sz w:val="20"/>
          <w:szCs w:val="20"/>
          <w:lang w:eastAsia="pl-PL"/>
        </w:rPr>
        <w:t>Przekazane dane będą przetwarzane przez okres niezbędny do realizacji celu, dla którego zostały przekaz</w:t>
      </w:r>
      <w:r w:rsidR="0033137A">
        <w:rPr>
          <w:rFonts w:eastAsia="Times New Roman" w:cstheme="minorHAnsi"/>
          <w:sz w:val="20"/>
          <w:szCs w:val="20"/>
          <w:lang w:eastAsia="pl-PL"/>
        </w:rPr>
        <w:t>ane, a </w:t>
      </w:r>
      <w:r>
        <w:rPr>
          <w:rFonts w:eastAsia="Times New Roman" w:cstheme="minorHAnsi"/>
          <w:sz w:val="20"/>
          <w:szCs w:val="20"/>
          <w:lang w:eastAsia="pl-PL"/>
        </w:rPr>
        <w:t xml:space="preserve">następnie przechowywane </w:t>
      </w:r>
      <w:r w:rsidRPr="003A4772">
        <w:rPr>
          <w:rFonts w:eastAsia="Times New Roman" w:cstheme="minorHAnsi"/>
          <w:sz w:val="20"/>
          <w:szCs w:val="20"/>
          <w:lang w:eastAsia="pl-PL"/>
        </w:rPr>
        <w:t>zgodnie z obowiązującymi przepisami prawa i za</w:t>
      </w:r>
      <w:r w:rsidR="0033137A">
        <w:rPr>
          <w:rFonts w:eastAsia="Times New Roman" w:cstheme="minorHAnsi"/>
          <w:sz w:val="20"/>
          <w:szCs w:val="20"/>
          <w:lang w:eastAsia="pl-PL"/>
        </w:rPr>
        <w:t>sadami archiwizacji. Kryteria i </w:t>
      </w:r>
      <w:r w:rsidRPr="003A4772">
        <w:rPr>
          <w:rFonts w:eastAsia="Times New Roman" w:cstheme="minorHAnsi"/>
          <w:sz w:val="20"/>
          <w:szCs w:val="20"/>
          <w:lang w:eastAsia="pl-PL"/>
        </w:rPr>
        <w:t xml:space="preserve">konkretne okresy przechowywania wynikają z aktów prawnych </w:t>
      </w:r>
      <w:r>
        <w:rPr>
          <w:rFonts w:eastAsia="Times New Roman" w:cstheme="minorHAnsi"/>
          <w:sz w:val="20"/>
          <w:szCs w:val="20"/>
          <w:lang w:eastAsia="pl-PL"/>
        </w:rPr>
        <w:t>(w tym przepisów</w:t>
      </w:r>
      <w:r w:rsidRPr="003A4772">
        <w:rPr>
          <w:rFonts w:eastAsia="Times New Roman" w:cstheme="minorHAnsi"/>
          <w:sz w:val="20"/>
          <w:szCs w:val="20"/>
          <w:lang w:eastAsia="pl-PL"/>
        </w:rPr>
        <w:t xml:space="preserve"> o narodowym </w:t>
      </w:r>
      <w:r>
        <w:rPr>
          <w:rFonts w:eastAsia="Times New Roman" w:cstheme="minorHAnsi"/>
          <w:sz w:val="20"/>
          <w:szCs w:val="20"/>
          <w:lang w:eastAsia="pl-PL"/>
        </w:rPr>
        <w:t>zasobie archiwalnym i archiwach)</w:t>
      </w:r>
      <w:r w:rsidR="0033137A">
        <w:rPr>
          <w:rFonts w:eastAsia="Times New Roman" w:cstheme="minorHAnsi"/>
          <w:sz w:val="20"/>
          <w:szCs w:val="20"/>
          <w:lang w:eastAsia="pl-PL"/>
        </w:rPr>
        <w:t>;</w:t>
      </w:r>
    </w:p>
    <w:p w:rsidR="003A4772" w:rsidRDefault="003A4772" w:rsidP="003A4772">
      <w:pPr>
        <w:numPr>
          <w:ilvl w:val="0"/>
          <w:numId w:val="1"/>
        </w:numPr>
        <w:tabs>
          <w:tab w:val="clear" w:pos="720"/>
          <w:tab w:val="num" w:pos="360"/>
        </w:tabs>
        <w:spacing w:after="0" w:line="240" w:lineRule="auto"/>
        <w:ind w:left="0"/>
        <w:jc w:val="both"/>
        <w:rPr>
          <w:rFonts w:eastAsia="Times New Roman" w:cstheme="minorHAnsi"/>
          <w:sz w:val="20"/>
          <w:szCs w:val="20"/>
          <w:lang w:eastAsia="pl-PL"/>
        </w:rPr>
      </w:pPr>
      <w:r w:rsidRPr="003A4772">
        <w:rPr>
          <w:rFonts w:eastAsia="Times New Roman" w:cstheme="minorHAnsi"/>
          <w:b/>
          <w:bCs/>
          <w:sz w:val="20"/>
          <w:szCs w:val="20"/>
          <w:lang w:eastAsia="pl-PL"/>
        </w:rPr>
        <w:t>Skarga do organu nadzorczego</w:t>
      </w:r>
      <w:r>
        <w:rPr>
          <w:rFonts w:eastAsia="Times New Roman" w:cstheme="minorHAnsi"/>
          <w:sz w:val="20"/>
          <w:szCs w:val="20"/>
          <w:lang w:eastAsia="pl-PL"/>
        </w:rPr>
        <w:t xml:space="preserve"> </w:t>
      </w:r>
    </w:p>
    <w:p w:rsidR="003A4772" w:rsidRDefault="003A4772" w:rsidP="003A4772">
      <w:pPr>
        <w:spacing w:line="240" w:lineRule="auto"/>
        <w:jc w:val="both"/>
        <w:rPr>
          <w:rFonts w:eastAsia="Times New Roman" w:cstheme="minorHAnsi"/>
          <w:sz w:val="20"/>
          <w:szCs w:val="20"/>
          <w:lang w:eastAsia="pl-PL"/>
        </w:rPr>
      </w:pPr>
      <w:r w:rsidRPr="003A4772">
        <w:rPr>
          <w:rFonts w:eastAsia="Times New Roman" w:cstheme="minorHAnsi"/>
          <w:sz w:val="20"/>
          <w:szCs w:val="20"/>
          <w:lang w:eastAsia="pl-PL"/>
        </w:rPr>
        <w:t>W przypadku stwierdzenia niewłaściwego przetwarzania danych osob</w:t>
      </w:r>
      <w:r>
        <w:rPr>
          <w:rFonts w:eastAsia="Times New Roman" w:cstheme="minorHAnsi"/>
          <w:sz w:val="20"/>
          <w:szCs w:val="20"/>
          <w:lang w:eastAsia="pl-PL"/>
        </w:rPr>
        <w:t xml:space="preserve">owych przysługuje Państwu prawo </w:t>
      </w:r>
      <w:r w:rsidRPr="003A4772">
        <w:rPr>
          <w:rFonts w:eastAsia="Times New Roman" w:cstheme="minorHAnsi"/>
          <w:sz w:val="20"/>
          <w:szCs w:val="20"/>
          <w:lang w:eastAsia="pl-PL"/>
        </w:rPr>
        <w:t>wniesienia skargi do Prezesa Urzędu Ochrony Danych Osobowych (Stanisława Moniuszki 1A, 00-014 Warszawa</w:t>
      </w:r>
      <w:r>
        <w:rPr>
          <w:rFonts w:eastAsia="Times New Roman" w:cstheme="minorHAnsi"/>
          <w:sz w:val="20"/>
          <w:szCs w:val="20"/>
          <w:lang w:eastAsia="pl-PL"/>
        </w:rPr>
        <w:t>)</w:t>
      </w:r>
      <w:r w:rsidR="0033137A">
        <w:rPr>
          <w:rFonts w:eastAsia="Times New Roman" w:cstheme="minorHAnsi"/>
          <w:sz w:val="20"/>
          <w:szCs w:val="20"/>
          <w:lang w:eastAsia="pl-PL"/>
        </w:rPr>
        <w:t>;</w:t>
      </w:r>
    </w:p>
    <w:p w:rsidR="0033137A" w:rsidRDefault="003A4772" w:rsidP="0033137A">
      <w:pPr>
        <w:pStyle w:val="Akapitzlist"/>
        <w:numPr>
          <w:ilvl w:val="0"/>
          <w:numId w:val="1"/>
        </w:numPr>
        <w:tabs>
          <w:tab w:val="clear" w:pos="720"/>
          <w:tab w:val="num" w:pos="360"/>
        </w:tabs>
        <w:spacing w:after="0" w:line="240" w:lineRule="auto"/>
        <w:ind w:left="0"/>
        <w:jc w:val="both"/>
        <w:rPr>
          <w:rFonts w:eastAsia="Times New Roman" w:cstheme="minorHAnsi"/>
          <w:sz w:val="20"/>
          <w:szCs w:val="20"/>
          <w:lang w:eastAsia="pl-PL"/>
        </w:rPr>
      </w:pPr>
      <w:r w:rsidRPr="003A4772">
        <w:rPr>
          <w:rFonts w:eastAsia="Times New Roman" w:cstheme="minorHAnsi"/>
          <w:b/>
          <w:bCs/>
          <w:sz w:val="20"/>
          <w:szCs w:val="20"/>
          <w:lang w:eastAsia="pl-PL"/>
        </w:rPr>
        <w:t>Odbiorcy danych</w:t>
      </w:r>
    </w:p>
    <w:p w:rsidR="003A4772" w:rsidRPr="0033137A" w:rsidRDefault="003A4772" w:rsidP="0033137A">
      <w:pPr>
        <w:pStyle w:val="Akapitzlist"/>
        <w:spacing w:after="0" w:line="240" w:lineRule="auto"/>
        <w:ind w:left="0"/>
        <w:jc w:val="both"/>
        <w:rPr>
          <w:rFonts w:eastAsia="Times New Roman" w:cstheme="minorHAnsi"/>
          <w:sz w:val="20"/>
          <w:szCs w:val="20"/>
          <w:lang w:eastAsia="pl-PL"/>
        </w:rPr>
      </w:pPr>
      <w:r w:rsidRPr="0033137A">
        <w:rPr>
          <w:rFonts w:eastAsia="Times New Roman" w:cstheme="minorHAnsi"/>
          <w:sz w:val="20"/>
          <w:szCs w:val="20"/>
          <w:lang w:eastAsia="pl-PL"/>
        </w:rPr>
        <w:t>Odbiorcami Państwa danych mogą być wyłącznie: instytucje i podmioty uprawnione na podstawie przepisów prawa (np. organy państwowe) oraz podmioty, którym Administrator powierzy przetwarzanie danych na podstawie zawartej umowy powierzenia (np. dostawcy usług IT, firmy obsłu</w:t>
      </w:r>
      <w:r w:rsidR="0033137A">
        <w:rPr>
          <w:rFonts w:eastAsia="Times New Roman" w:cstheme="minorHAnsi"/>
          <w:sz w:val="20"/>
          <w:szCs w:val="20"/>
          <w:lang w:eastAsia="pl-PL"/>
        </w:rPr>
        <w:t>gujące księgowość</w:t>
      </w:r>
      <w:r w:rsidR="00A50D07">
        <w:rPr>
          <w:rFonts w:eastAsia="Times New Roman" w:cstheme="minorHAnsi"/>
          <w:sz w:val="20"/>
          <w:szCs w:val="20"/>
          <w:lang w:eastAsia="pl-PL"/>
        </w:rPr>
        <w:t>, Powiatowe Centrum Usług Wspólnych w Kielcach</w:t>
      </w:r>
      <w:bookmarkStart w:id="0" w:name="_GoBack"/>
      <w:bookmarkEnd w:id="0"/>
      <w:r w:rsidR="00A50D07">
        <w:rPr>
          <w:rFonts w:eastAsia="Times New Roman" w:cstheme="minorHAnsi"/>
          <w:sz w:val="20"/>
          <w:szCs w:val="20"/>
          <w:lang w:eastAsia="pl-PL"/>
        </w:rPr>
        <w:t xml:space="preserve"> – Wrzosowa 44, 25-211 Kielce</w:t>
      </w:r>
      <w:r w:rsidR="0033137A">
        <w:rPr>
          <w:rFonts w:eastAsia="Times New Roman" w:cstheme="minorHAnsi"/>
          <w:sz w:val="20"/>
          <w:szCs w:val="20"/>
          <w:lang w:eastAsia="pl-PL"/>
        </w:rPr>
        <w:t>), wyłącznie w </w:t>
      </w:r>
      <w:r w:rsidRPr="0033137A">
        <w:rPr>
          <w:rFonts w:eastAsia="Times New Roman" w:cstheme="minorHAnsi"/>
          <w:sz w:val="20"/>
          <w:szCs w:val="20"/>
          <w:lang w:eastAsia="pl-PL"/>
        </w:rPr>
        <w:t>zakresie niezbędnym do realizacji powierzonych im zadań</w:t>
      </w:r>
      <w:r w:rsidR="00EF2C14">
        <w:rPr>
          <w:rFonts w:eastAsia="Times New Roman" w:cstheme="minorHAnsi"/>
          <w:sz w:val="20"/>
          <w:szCs w:val="20"/>
          <w:lang w:eastAsia="pl-PL"/>
        </w:rPr>
        <w:t xml:space="preserve">. </w:t>
      </w:r>
      <w:r w:rsidR="00EF2C14" w:rsidRPr="00EF2C14">
        <w:rPr>
          <w:rFonts w:eastAsia="Times New Roman" w:cstheme="minorHAnsi"/>
          <w:sz w:val="20"/>
          <w:szCs w:val="20"/>
          <w:lang w:eastAsia="pl-PL"/>
        </w:rPr>
        <w:t>Organy publiczne, które mogą otrzymywać dane osobowe w ramach konkretnego postępowania zgodnie z prawem Unii lub prawem państwa członkowskiego, nie są uznawane za odbiorców;</w:t>
      </w:r>
    </w:p>
    <w:p w:rsidR="003A4772" w:rsidRDefault="003A4772" w:rsidP="003A4772">
      <w:pPr>
        <w:pStyle w:val="Akapitzlist"/>
        <w:spacing w:line="240" w:lineRule="auto"/>
        <w:ind w:left="0"/>
        <w:jc w:val="both"/>
        <w:rPr>
          <w:rFonts w:eastAsia="Times New Roman" w:cstheme="minorHAnsi"/>
          <w:sz w:val="20"/>
          <w:szCs w:val="20"/>
          <w:lang w:eastAsia="pl-PL"/>
        </w:rPr>
      </w:pPr>
    </w:p>
    <w:p w:rsidR="0033137A" w:rsidRPr="0033137A" w:rsidRDefault="003A4772" w:rsidP="003A4772">
      <w:pPr>
        <w:pStyle w:val="Akapitzlist"/>
        <w:numPr>
          <w:ilvl w:val="0"/>
          <w:numId w:val="1"/>
        </w:numPr>
        <w:tabs>
          <w:tab w:val="clear" w:pos="720"/>
          <w:tab w:val="num" w:pos="360"/>
        </w:tabs>
        <w:spacing w:line="240" w:lineRule="auto"/>
        <w:ind w:left="0"/>
        <w:jc w:val="both"/>
        <w:rPr>
          <w:rFonts w:cstheme="minorHAnsi"/>
          <w:sz w:val="20"/>
          <w:szCs w:val="20"/>
        </w:rPr>
      </w:pPr>
      <w:r w:rsidRPr="003A4772">
        <w:rPr>
          <w:rFonts w:eastAsia="Times New Roman" w:cstheme="minorHAnsi"/>
          <w:b/>
          <w:bCs/>
          <w:sz w:val="20"/>
          <w:szCs w:val="20"/>
          <w:lang w:eastAsia="pl-PL"/>
        </w:rPr>
        <w:t>Przekazywanie danych poza UE</w:t>
      </w:r>
    </w:p>
    <w:p w:rsidR="00CD2EBA" w:rsidRPr="003A4772" w:rsidRDefault="003A4772" w:rsidP="0033137A">
      <w:pPr>
        <w:pStyle w:val="Akapitzlist"/>
        <w:spacing w:line="240" w:lineRule="auto"/>
        <w:ind w:left="0"/>
        <w:jc w:val="both"/>
        <w:rPr>
          <w:rFonts w:cstheme="minorHAnsi"/>
          <w:sz w:val="20"/>
          <w:szCs w:val="20"/>
        </w:rPr>
      </w:pPr>
      <w:r w:rsidRPr="003A4772">
        <w:rPr>
          <w:rFonts w:eastAsia="Times New Roman" w:cstheme="minorHAnsi"/>
          <w:sz w:val="20"/>
          <w:szCs w:val="20"/>
          <w:lang w:eastAsia="pl-PL"/>
        </w:rPr>
        <w:t>Państwa dane osobowe nie są prze</w:t>
      </w:r>
      <w:r>
        <w:rPr>
          <w:rFonts w:eastAsia="Times New Roman" w:cstheme="minorHAnsi"/>
          <w:sz w:val="20"/>
          <w:szCs w:val="20"/>
          <w:lang w:eastAsia="pl-PL"/>
        </w:rPr>
        <w:t>twarzane</w:t>
      </w:r>
      <w:r w:rsidRPr="003A4772">
        <w:rPr>
          <w:rFonts w:eastAsia="Times New Roman" w:cstheme="minorHAnsi"/>
          <w:sz w:val="20"/>
          <w:szCs w:val="20"/>
          <w:lang w:eastAsia="pl-PL"/>
        </w:rPr>
        <w:t xml:space="preserve"> w sposób opierający się wyłącznie na zautomatyzowanym przetwarzaniu, w tym profilowaniu oraz nie </w:t>
      </w:r>
      <w:r>
        <w:rPr>
          <w:rFonts w:eastAsia="Times New Roman" w:cstheme="minorHAnsi"/>
          <w:sz w:val="20"/>
          <w:szCs w:val="20"/>
          <w:lang w:eastAsia="pl-PL"/>
        </w:rPr>
        <w:t xml:space="preserve">są </w:t>
      </w:r>
      <w:r w:rsidRPr="003A4772">
        <w:rPr>
          <w:rFonts w:eastAsia="Times New Roman" w:cstheme="minorHAnsi"/>
          <w:sz w:val="20"/>
          <w:szCs w:val="20"/>
          <w:lang w:eastAsia="pl-PL"/>
        </w:rPr>
        <w:t>przeka</w:t>
      </w:r>
      <w:r>
        <w:rPr>
          <w:rFonts w:eastAsia="Times New Roman" w:cstheme="minorHAnsi"/>
          <w:sz w:val="20"/>
          <w:szCs w:val="20"/>
          <w:lang w:eastAsia="pl-PL"/>
        </w:rPr>
        <w:t>zywane do pańs</w:t>
      </w:r>
      <w:r w:rsidRPr="003A4772">
        <w:rPr>
          <w:rFonts w:eastAsia="Times New Roman" w:cstheme="minorHAnsi"/>
          <w:sz w:val="20"/>
          <w:szCs w:val="20"/>
          <w:lang w:eastAsia="pl-PL"/>
        </w:rPr>
        <w:t>tw trzecich ani do organizacji międzynarodowych.</w:t>
      </w:r>
    </w:p>
    <w:sectPr w:rsidR="00CD2EBA" w:rsidRPr="003A4772" w:rsidSect="003A4772">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71842"/>
    <w:multiLevelType w:val="multilevel"/>
    <w:tmpl w:val="8F2CE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772"/>
    <w:rsid w:val="0033137A"/>
    <w:rsid w:val="003A4772"/>
    <w:rsid w:val="00A50D07"/>
    <w:rsid w:val="00CD2EBA"/>
    <w:rsid w:val="00EF2C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C4FC5"/>
  <w15:chartTrackingRefBased/>
  <w15:docId w15:val="{66610F51-0BF8-4633-A618-D58EEC48E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
    <w:qFormat/>
    <w:rsid w:val="003A47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A4772"/>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3A477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A4772"/>
    <w:rPr>
      <w:b/>
      <w:bCs/>
    </w:rPr>
  </w:style>
  <w:style w:type="character" w:styleId="Hipercze">
    <w:name w:val="Hyperlink"/>
    <w:basedOn w:val="Domylnaczcionkaakapitu"/>
    <w:uiPriority w:val="99"/>
    <w:unhideWhenUsed/>
    <w:rsid w:val="003A4772"/>
    <w:rPr>
      <w:color w:val="0563C1" w:themeColor="hyperlink"/>
      <w:u w:val="single"/>
    </w:rPr>
  </w:style>
  <w:style w:type="paragraph" w:styleId="Akapitzlist">
    <w:name w:val="List Paragraph"/>
    <w:basedOn w:val="Normalny"/>
    <w:uiPriority w:val="34"/>
    <w:qFormat/>
    <w:rsid w:val="003A4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30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561</Words>
  <Characters>3370</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Gąsior</dc:creator>
  <cp:keywords/>
  <dc:description/>
  <cp:lastModifiedBy>Mateusz Gąsior</cp:lastModifiedBy>
  <cp:revision>3</cp:revision>
  <dcterms:created xsi:type="dcterms:W3CDTF">2026-01-14T05:56:00Z</dcterms:created>
  <dcterms:modified xsi:type="dcterms:W3CDTF">2026-01-14T06:23:00Z</dcterms:modified>
</cp:coreProperties>
</file>