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C1537" w:rsidRPr="00BC5489" w:rsidRDefault="00BC5489" w:rsidP="00B9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Opel Astra </w:t>
      </w:r>
      <w:r w:rsidRPr="00BC5489">
        <w:rPr>
          <w:rFonts w:ascii="Times New Roman" w:hAnsi="Times New Roman" w:cs="Times New Roman"/>
          <w:b/>
          <w:sz w:val="24"/>
          <w:szCs w:val="24"/>
        </w:rPr>
        <w:t>II, 1,6 kat., nr. rejestracyjny BZA 88FS</w:t>
      </w: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Pisemne oferty w języku polskim należy złożyć do dnia 12 kwietnia 2021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załączonym wzorem (załącznik nr 1)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dopisek: „Oferta na zakup samochodu Opel Astra II 1,6 kat. Nie otwierać przed 12 kwietnia 2021 r. godz. 10:30”.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poniedziałku do piątku w godz. Od 7:30 do 15:30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Osobą uprawnioną do kontaktu z oferentami jest Paweł Zalewski (pok. 126, od poniedziałku do piątku w godz. Od 7:30 do 15:30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Otwarcie ofert nastąpi w dniu 12 kwietnia 2021 r. o godz. 10:30 w Starostwie Powiatowym w Zambrowie, ul. Fabryczna 3, pok. 26.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Cena wywoławcza wynosi 7 080,00 zł (siedem tysięcy osiemdziesiąt złotych)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lastRenderedPageBreak/>
        <w:t>Warunkiem przystąpienia do przetargu jest wniesienie wadium w wysokości 10% ceny wywoławczej tj. 708 zł.</w:t>
      </w:r>
      <w:r w:rsidR="00537A27">
        <w:t xml:space="preserve"> Wadium należy wpłacić najpóźniej do 9 kwietnia 2021 r. </w:t>
      </w:r>
      <w:bookmarkStart w:id="0" w:name="_GoBack"/>
      <w:bookmarkEnd w:id="0"/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w terminie do 30 kwietnia 2021 roku. 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poniedziałku do piątku w godz. od 7:30 do 15:30.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83BD7"/>
    <w:rsid w:val="00093F0C"/>
    <w:rsid w:val="000B6128"/>
    <w:rsid w:val="000D386C"/>
    <w:rsid w:val="000F2DAD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74066"/>
    <w:rsid w:val="007A7F02"/>
    <w:rsid w:val="007B29A0"/>
    <w:rsid w:val="007B567A"/>
    <w:rsid w:val="00811B32"/>
    <w:rsid w:val="00830003"/>
    <w:rsid w:val="008503AC"/>
    <w:rsid w:val="008758AA"/>
    <w:rsid w:val="008E2131"/>
    <w:rsid w:val="008E714A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6</cp:revision>
  <cp:lastPrinted>2021-03-25T12:14:00Z</cp:lastPrinted>
  <dcterms:created xsi:type="dcterms:W3CDTF">2021-03-25T09:06:00Z</dcterms:created>
  <dcterms:modified xsi:type="dcterms:W3CDTF">2021-03-26T11:27:00Z</dcterms:modified>
</cp:coreProperties>
</file>