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A76" w:rsidRDefault="00877A76" w:rsidP="00877A76">
      <w:pPr>
        <w:pStyle w:val="Nagwek1"/>
        <w:rPr>
          <w:rFonts w:ascii="Calibri Light" w:hAnsi="Calibri Light" w:cs="Calibri Light"/>
          <w:b/>
          <w:bCs/>
          <w:sz w:val="32"/>
        </w:rPr>
      </w:pPr>
      <w:r>
        <w:rPr>
          <w:rFonts w:ascii="Calibri Light" w:hAnsi="Calibri Light" w:cs="Calibri Light"/>
          <w:b/>
        </w:rPr>
        <w:t>W Y K A Z</w:t>
      </w:r>
    </w:p>
    <w:p w:rsidR="00877A76" w:rsidRDefault="00877A76" w:rsidP="00877A76">
      <w:pPr>
        <w:ind w:left="708" w:firstLine="708"/>
        <w:rPr>
          <w:rFonts w:ascii="Calibri Light" w:hAnsi="Calibri Light" w:cs="Calibri Light"/>
          <w:b/>
          <w:bCs/>
          <w:sz w:val="28"/>
        </w:rPr>
      </w:pPr>
      <w:r>
        <w:rPr>
          <w:rFonts w:ascii="Calibri Light" w:hAnsi="Calibri Light" w:cs="Calibri Light"/>
          <w:b/>
          <w:bCs/>
          <w:sz w:val="28"/>
        </w:rPr>
        <w:t>nieruchomości przeznaczonych do sprzedaży</w:t>
      </w:r>
    </w:p>
    <w:p w:rsidR="00877A76" w:rsidRDefault="00877A76" w:rsidP="00877A76">
      <w:pPr>
        <w:ind w:firstLine="360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Wójt Gminy Olszanka  informuje , że  przeznaczona została do sprzedaży następująca nieruchomość, będąca własnością Gminy Olszanka  :</w:t>
      </w:r>
    </w:p>
    <w:p w:rsidR="00877A76" w:rsidRDefault="00877A76" w:rsidP="00877A76">
      <w:pPr>
        <w:tabs>
          <w:tab w:val="num" w:pos="284"/>
        </w:tabs>
        <w:ind w:left="284" w:hanging="284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1. nieruchomość niezabudowana stanowiąca działkę nr 457/2, arkusz mapy 2, o powierzchni 0,1200 ha, grunty orne RII, numer jednostki rejestrowej G110, położona w Czeskiej Wsi, zapisana w księdze wieczystej nr OP1B/00020832/9. Nieruchomość położona w sąsiedztwie nieruchomości zabudowanych i niezabudowanych z dojazdem z drogi nie urządzonej. Działka o regularnym kształcie prostokąta z możliwością podłączenia do sieci elektrycznej i wodno-kanalizacyjnej – uzbrojenie          w drodze głównej. Teren równy bez pofałdowań, nie jest ogrodzona, nie jest zabudowana, zagospodarowana jako łąka. </w:t>
      </w:r>
      <w:r>
        <w:rPr>
          <w:rFonts w:ascii="Calibri Light" w:hAnsi="Calibri Light" w:cs="Calibri Light"/>
          <w:b/>
          <w:bCs/>
          <w:iCs/>
          <w:sz w:val="22"/>
          <w:szCs w:val="22"/>
        </w:rPr>
        <w:t>Nieruchomość jest wolna od wszelkich obciążeń.</w:t>
      </w:r>
    </w:p>
    <w:p w:rsidR="00877A76" w:rsidRDefault="00877A76" w:rsidP="00877A76">
      <w:pPr>
        <w:numPr>
          <w:ilvl w:val="1"/>
          <w:numId w:val="1"/>
        </w:numPr>
        <w:tabs>
          <w:tab w:val="num" w:pos="567"/>
        </w:tabs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Dla działki nr 457/2 Gmina nie posiada planu zagospodarowania przestrzennego, w studium uwarunkowań i kierunków zagospodarowania przestrzennego zatwierdzonego uchwałą nr XIV/121/2000 Rady Gminy w Olszance z dnia 24 lutego 2000 r., zmiana studium uwarunkowań      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sz w:val="22"/>
          <w:szCs w:val="22"/>
        </w:rPr>
        <w:t>zmiana studium uwarunkowań i kierunków zagospodarowania przestrzennego gminy Olszanka w zakresie linii elektroenergetycznej 400 kV Dobrzeń – Pasikurowice/Wrocław zatwierdzona uchwałą  nr XXXVIIII/232/2013 Rady Gminy Olszanka z dnia 27 września 2013r.,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bCs/>
          <w:sz w:val="22"/>
          <w:szCs w:val="22"/>
        </w:rPr>
        <w:t>działka położona na obszarze oznaczonym symbolem MN, MR – obszar projektowanej zabudowy mieszkalnej jednorodzinnej i zagrodowej.</w:t>
      </w:r>
    </w:p>
    <w:p w:rsidR="00877A76" w:rsidRDefault="00877A76" w:rsidP="00877A76">
      <w:pPr>
        <w:numPr>
          <w:ilvl w:val="1"/>
          <w:numId w:val="1"/>
        </w:numPr>
        <w:tabs>
          <w:tab w:val="num" w:pos="426"/>
        </w:tabs>
        <w:ind w:hanging="115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>Termin zagospodarowania nieruchomości - ------------------------------------------------------,</w:t>
      </w:r>
    </w:p>
    <w:p w:rsidR="00877A76" w:rsidRDefault="00877A76" w:rsidP="00877A76">
      <w:pPr>
        <w:numPr>
          <w:ilvl w:val="1"/>
          <w:numId w:val="1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 Wysokość stawek procentowych opłaty z tytułu użytkowania wieczystego –--------,</w:t>
      </w:r>
    </w:p>
    <w:p w:rsidR="00877A76" w:rsidRDefault="00877A76" w:rsidP="00877A7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 Wysokość opłaty z tytułu użytkowania, najmu lub dzierżawy –  --------------------------,</w:t>
      </w:r>
    </w:p>
    <w:p w:rsidR="00877A76" w:rsidRDefault="00877A76" w:rsidP="00877A7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 Termin wnoszenia opłat - -------------------------------------------------------------------------------,</w:t>
      </w:r>
    </w:p>
    <w:p w:rsidR="00877A76" w:rsidRDefault="00877A76" w:rsidP="00877A7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 Zasady aktualizacji opłat - ------------------------------------------------------------------------------,</w:t>
      </w:r>
    </w:p>
    <w:p w:rsidR="00877A76" w:rsidRDefault="00877A76" w:rsidP="00877A76">
      <w:pPr>
        <w:numPr>
          <w:ilvl w:val="0"/>
          <w:numId w:val="2"/>
        </w:numPr>
        <w:tabs>
          <w:tab w:val="num" w:pos="426"/>
        </w:tabs>
        <w:ind w:left="720" w:hanging="43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 Sprzedaż w trybie przetargu nieograniczonego   za cenę – 55.500,00 zł.</w:t>
      </w:r>
    </w:p>
    <w:p w:rsidR="00877A76" w:rsidRDefault="00877A76" w:rsidP="00877A76">
      <w:pPr>
        <w:pStyle w:val="Akapitzlist"/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działkę nr </w:t>
      </w:r>
      <w:r>
        <w:rPr>
          <w:rFonts w:ascii="Calibri Light" w:hAnsi="Calibri Light" w:cs="Calibri Light"/>
          <w:b/>
          <w:bCs/>
          <w:sz w:val="22"/>
          <w:szCs w:val="22"/>
        </w:rPr>
        <w:t>362/1 o powierzchni 0,11129 ha, położona w Przylesiu, arkusz mapy 1, jednostka rejestrowa G.12 ,zapisana w księdze wieczystej KW OP1B/00021406/1, zabudowaną budynkiem mieszkalno – użytkowym w którym znajduje się nieczynne przedszkole i lokal mieszkalny na parterze budynku. Nieruchomość nie jest obciążona, położona w bezpośrednim sąsiedztwie działek siedliskowych zabudowanych o funkcji mieszkalnej i użytkowej, dostęp do działki dogodny z drogi bocznej o nawierzchni urządzonej, działka ogrodzona, ogrodzenie z siatki na słupkach stalowych, uzbrojona w sieć elektryczną, wodociągową, kanalizacja do sieci wiejskiej, ogrzewanie co z kotłowni w piwnicy. Działka zabudowana budynkiem mieszkalno – użytkowym, posiadającym dwie kondygnacje nadziemne i poddasze użytkowe, podpiwniczony, wykonany w technologii tradycyjnej,    z dachem wielospadowym krytym dachówką na łatach drewnianych.  Budynek posiada dwa wejścia, jedno od strony głównej drogi dojazdowej, drugie od strony bocznej drogi dojazdowej, wykonany       z cegły ceramicznej na zaprawie cementowo – wapiennej, stropy nad piwnicą ceramiczne na belkach stalowych, między kondygnacjami  drewniane na belkach drewnianych.</w:t>
      </w:r>
    </w:p>
    <w:p w:rsidR="00877A76" w:rsidRDefault="00877A76" w:rsidP="00877A76">
      <w:pPr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Powierzchnia użytkowa budynku Pu = </w:t>
      </w:r>
      <w:smartTag w:uri="urn:schemas-microsoft-com:office:smarttags" w:element="metricconverter">
        <w:smartTagPr>
          <w:attr w:name="ProductID" w:val="421,20 m2"/>
        </w:smartTagPr>
        <w:r>
          <w:rPr>
            <w:rFonts w:ascii="Calibri Light" w:hAnsi="Calibri Light" w:cs="Calibri Light"/>
            <w:b/>
            <w:bCs/>
            <w:sz w:val="22"/>
            <w:szCs w:val="22"/>
          </w:rPr>
          <w:t>421,20 m</w:t>
        </w:r>
        <w:r>
          <w:rPr>
            <w:rFonts w:ascii="Calibri Light" w:hAnsi="Calibri Light" w:cs="Calibri Light"/>
            <w:b/>
            <w:bCs/>
            <w:sz w:val="22"/>
            <w:szCs w:val="22"/>
            <w:vertAlign w:val="superscript"/>
          </w:rPr>
          <w:t>2</w:t>
        </w:r>
      </w:smartTag>
      <w:r>
        <w:rPr>
          <w:rFonts w:ascii="Calibri Light" w:hAnsi="Calibri Light" w:cs="Calibri Light"/>
          <w:b/>
          <w:bCs/>
          <w:sz w:val="22"/>
          <w:szCs w:val="22"/>
        </w:rPr>
        <w:t xml:space="preserve">. </w:t>
      </w:r>
    </w:p>
    <w:p w:rsidR="00877A76" w:rsidRDefault="00877A76" w:rsidP="00877A76">
      <w:pPr>
        <w:pStyle w:val="Akapitzlist"/>
        <w:ind w:left="284"/>
        <w:jc w:val="both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Budynek wpisany do Gminnej Ewidencji Zabytków pod nr 238/1306 z dnia 25.01.2016 r. </w:t>
      </w:r>
    </w:p>
    <w:p w:rsidR="00877A76" w:rsidRDefault="00877A76" w:rsidP="00877A76">
      <w:pPr>
        <w:numPr>
          <w:ilvl w:val="1"/>
          <w:numId w:val="1"/>
        </w:numPr>
        <w:ind w:left="426" w:hanging="142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   Nieruchomość jest wolna od wszelkich obciążeń.</w:t>
      </w:r>
    </w:p>
    <w:p w:rsidR="00877A76" w:rsidRDefault="00877A76" w:rsidP="00877A76">
      <w:pPr>
        <w:numPr>
          <w:ilvl w:val="1"/>
          <w:numId w:val="1"/>
        </w:numPr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Dla działki nr 362 Gmina nie posiada planu zagospodarowania przestrzennego, w studium </w:t>
      </w:r>
      <w:r>
        <w:rPr>
          <w:rFonts w:ascii="Calibri Light" w:hAnsi="Calibri Light" w:cs="Calibri Light"/>
          <w:b/>
          <w:sz w:val="22"/>
          <w:szCs w:val="22"/>
        </w:rPr>
        <w:t>uwarunkowań i kierunków zagospodarowania przestrzennego zatwierdzonego uchwałą nr XIV/121/2000 Rady Gminy w Olszance z dnia 24 lutego 2000 r., zmiana studium uwarunkowań       i kierunków zagospodarowania przestrzennego gminy Olszanka w rejonie miejscowości Przylesie, Obórki i Jankowice Wielkie zatwierdzona uchwałą nr XXXIV/210/2009 Rady Gminy Olszanka z dnia 01.12.2009r.,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bCs/>
          <w:sz w:val="22"/>
          <w:szCs w:val="22"/>
        </w:rPr>
        <w:t>działka położona na obszarze oznaczonym symbolem MR  – tj. obszar zabudowy zagrodowej.</w:t>
      </w:r>
    </w:p>
    <w:p w:rsidR="00877A76" w:rsidRDefault="00877A76" w:rsidP="00877A76">
      <w:pPr>
        <w:pStyle w:val="Akapitzlist"/>
        <w:numPr>
          <w:ilvl w:val="1"/>
          <w:numId w:val="1"/>
        </w:numPr>
        <w:tabs>
          <w:tab w:val="num" w:pos="567"/>
        </w:tabs>
        <w:ind w:hanging="115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>Termin zagospodarowania nieruchomości - ------------------------------------------------</w:t>
      </w:r>
    </w:p>
    <w:p w:rsidR="00877A76" w:rsidRDefault="00877A76" w:rsidP="00877A76">
      <w:pPr>
        <w:numPr>
          <w:ilvl w:val="1"/>
          <w:numId w:val="1"/>
        </w:numPr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lastRenderedPageBreak/>
        <w:t>Wysokość stawek procentowych opłaty z tytułu użytkowania wieczystego - --------</w:t>
      </w:r>
    </w:p>
    <w:p w:rsidR="00877A76" w:rsidRDefault="00877A76" w:rsidP="00877A76">
      <w:pPr>
        <w:pStyle w:val="Akapitzlist"/>
        <w:numPr>
          <w:ilvl w:val="1"/>
          <w:numId w:val="1"/>
        </w:numPr>
        <w:tabs>
          <w:tab w:val="num" w:pos="567"/>
        </w:tabs>
        <w:ind w:hanging="1156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>Wysokość opłaty z tytułu użytkowania, najmu lub dzierżawy - ------------------------</w:t>
      </w:r>
    </w:p>
    <w:p w:rsidR="00877A76" w:rsidRDefault="00877A76" w:rsidP="00877A76">
      <w:pPr>
        <w:numPr>
          <w:ilvl w:val="1"/>
          <w:numId w:val="1"/>
        </w:numPr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>Termin wnoszenia opłat - -----------------------------------------------------------------------</w:t>
      </w:r>
    </w:p>
    <w:p w:rsidR="00877A76" w:rsidRDefault="00877A76" w:rsidP="00877A76">
      <w:pPr>
        <w:numPr>
          <w:ilvl w:val="1"/>
          <w:numId w:val="1"/>
        </w:numPr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>Zasady aktualizacji opłat - --------------------------------------------------------------------,</w:t>
      </w:r>
    </w:p>
    <w:p w:rsidR="00877A76" w:rsidRDefault="00877A76" w:rsidP="00877A76">
      <w:pPr>
        <w:numPr>
          <w:ilvl w:val="1"/>
          <w:numId w:val="1"/>
        </w:numPr>
        <w:ind w:left="567" w:hanging="283"/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  <w:r>
        <w:rPr>
          <w:rFonts w:ascii="Calibri Light" w:hAnsi="Calibri Light" w:cs="Calibri Light"/>
          <w:b/>
          <w:bCs/>
          <w:iCs/>
          <w:sz w:val="22"/>
          <w:szCs w:val="22"/>
        </w:rPr>
        <w:t xml:space="preserve"> Sprzedaż w drodze przetarg nieograniczonego za cenę – 185.000,00 zł.</w:t>
      </w:r>
    </w:p>
    <w:p w:rsidR="00877A76" w:rsidRDefault="00877A76" w:rsidP="00877A76">
      <w:pPr>
        <w:jc w:val="both"/>
        <w:rPr>
          <w:rFonts w:ascii="Calibri Light" w:hAnsi="Calibri Light" w:cs="Calibri Light"/>
          <w:b/>
          <w:bCs/>
          <w:iCs/>
          <w:sz w:val="22"/>
          <w:szCs w:val="22"/>
        </w:rPr>
      </w:pPr>
    </w:p>
    <w:p w:rsidR="00877A76" w:rsidRDefault="00877A76" w:rsidP="00877A76">
      <w:pPr>
        <w:ind w:firstLine="36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Wykaz wywiesza się w siedzibie Urzędu Gminy Olszanka w dniach  30.05.2025 r. do 20.06.2025 r.    ( włącznie ) .</w:t>
      </w:r>
    </w:p>
    <w:p w:rsidR="00877A76" w:rsidRDefault="00877A76" w:rsidP="00877A76">
      <w:p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Osoby, którym przysługuje pierwszeństwo nabycia przedmiotowej nieruchomości, w myśl art. 34, ust. 1 pkt. 1 i 2 ustawy o gospodarce nieruchomościami winne złożyć wniosek o nabycie w terminie             6 tygodni licząc od dnia wywieszenia niniejszego wykazu tj. do dnia 14.07.2025r. Szczegółowych informacji o nieruchomościach zamieszczonych w wykazie można uzyskać w Urzędzie Gminy                w Olszance, pokój nr 10, telefon  77 4129-683, wew. 115.</w:t>
      </w:r>
    </w:p>
    <w:p w:rsidR="00877A76" w:rsidRDefault="00877A76" w:rsidP="00877A76">
      <w:pPr>
        <w:jc w:val="both"/>
        <w:rPr>
          <w:rFonts w:ascii="Calibri Light" w:hAnsi="Calibri Light" w:cs="Calibri Light"/>
          <w:sz w:val="22"/>
          <w:szCs w:val="22"/>
        </w:rPr>
      </w:pPr>
    </w:p>
    <w:p w:rsidR="00877A76" w:rsidRDefault="00877A76" w:rsidP="00877A76">
      <w:pPr>
        <w:ind w:left="5316" w:firstLine="348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</w:t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</w:p>
    <w:p w:rsidR="00877A76" w:rsidRDefault="00877A76" w:rsidP="00877A76">
      <w:pPr>
        <w:ind w:left="5316" w:firstLine="34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Wójt Gminy Olszanka</w:t>
      </w:r>
    </w:p>
    <w:p w:rsidR="00877A76" w:rsidRDefault="00877A76" w:rsidP="00877A76">
      <w:pPr>
        <w:ind w:left="36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</w:t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  <w:t xml:space="preserve">       </w:t>
      </w:r>
      <w:r>
        <w:rPr>
          <w:rFonts w:ascii="Calibri Light" w:hAnsi="Calibri Light" w:cs="Calibri Light"/>
          <w:b/>
        </w:rPr>
        <w:tab/>
        <w:t xml:space="preserve">        /-/Tymoteusz Drebschok</w:t>
      </w:r>
    </w:p>
    <w:p w:rsidR="00877A76" w:rsidRDefault="00877A76" w:rsidP="00877A76">
      <w:pPr>
        <w:jc w:val="both"/>
        <w:rPr>
          <w:rFonts w:ascii="Calibri Light" w:hAnsi="Calibri Light" w:cs="Calibri Light"/>
          <w:b/>
        </w:rPr>
      </w:pPr>
    </w:p>
    <w:p w:rsidR="00877A76" w:rsidRDefault="00877A76" w:rsidP="00877A76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    </w:t>
      </w:r>
      <w:r>
        <w:rPr>
          <w:rFonts w:ascii="Calibri Light" w:hAnsi="Calibri Light" w:cs="Calibri Light"/>
          <w:b/>
          <w:bCs/>
        </w:rPr>
        <w:tab/>
        <w:t xml:space="preserve">  </w:t>
      </w:r>
      <w:r>
        <w:rPr>
          <w:rFonts w:ascii="Calibri Light" w:hAnsi="Calibri Light" w:cs="Calibri Light"/>
        </w:rPr>
        <w:tab/>
      </w:r>
    </w:p>
    <w:p w:rsidR="00877A76" w:rsidRDefault="00877A76" w:rsidP="00877A76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 30 maja 2025 r.</w:t>
      </w:r>
    </w:p>
    <w:p w:rsidR="00877A76" w:rsidRDefault="00877A76" w:rsidP="00877A76">
      <w:pPr>
        <w:rPr>
          <w:rFonts w:ascii="Calibri Light" w:hAnsi="Calibri Light" w:cs="Calibri Light"/>
        </w:rPr>
      </w:pPr>
    </w:p>
    <w:p w:rsidR="00877A76" w:rsidRDefault="00877A76" w:rsidP="00877A76">
      <w:pPr>
        <w:rPr>
          <w:rFonts w:ascii="Calibri Light" w:hAnsi="Calibri Light" w:cs="Calibri Light"/>
        </w:rPr>
      </w:pPr>
    </w:p>
    <w:p w:rsidR="00877A76" w:rsidRDefault="00877A76" w:rsidP="00877A76">
      <w:pPr>
        <w:pStyle w:val="Nagwek1"/>
        <w:ind w:left="0"/>
        <w:rPr>
          <w:rFonts w:ascii="Calibri Light" w:hAnsi="Calibri Light" w:cs="Calibri Light"/>
          <w:sz w:val="24"/>
        </w:rPr>
      </w:pPr>
    </w:p>
    <w:p w:rsidR="00877A76" w:rsidRDefault="00877A76" w:rsidP="00877A76"/>
    <w:p w:rsidR="00877A76" w:rsidRDefault="00877A76" w:rsidP="00877A76"/>
    <w:p w:rsidR="00D564F0" w:rsidRDefault="00D564F0">
      <w:bookmarkStart w:id="0" w:name="_GoBack"/>
      <w:bookmarkEnd w:id="0"/>
    </w:p>
    <w:sectPr w:rsidR="00D56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65939"/>
    <w:multiLevelType w:val="hybridMultilevel"/>
    <w:tmpl w:val="C4384C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291"/>
    <w:rsid w:val="00877A76"/>
    <w:rsid w:val="00895291"/>
    <w:rsid w:val="00D5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77A76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7A76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7A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77A76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7A76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7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2025-05-30T09:54:00Z</dcterms:created>
  <dcterms:modified xsi:type="dcterms:W3CDTF">2025-05-30T09:54:00Z</dcterms:modified>
</cp:coreProperties>
</file>