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82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</w:rPr>
        <w:t>Zarządzenie Nr 35/2023</w:t>
        <w:br/>
        <w:t>Wójta Gminy Skąpe</w:t>
        <w:br/>
        <w:t>z dnia 14.02.2023r.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b/>
          <w:bCs/>
          <w:color w:val="000000"/>
          <w:spacing w:val="0"/>
          <w:w w:val="100"/>
          <w:position w:val="0"/>
          <w:sz w:val="24"/>
          <w:szCs w:val="24"/>
        </w:rPr>
        <w:t>w sprawie: ustalenia wysokości prewspółczynników oraz proporcji VAT do stosowania w jednostce obsługującej jednostkę samorządu terytorialnego oraz jednostkach organizacyjnych Gminy Skąpe</w:t>
      </w:r>
    </w:p>
    <w:p>
      <w:pPr>
        <w:pStyle w:val="Style5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Na podstawie art. 30 ust. 1 ustawy z dnia 8 marca 1990r. o samorządzie gminnym (Dz.U. z 2023r., poz. 40) w związku z art. 86 ust. 2a-2h oraz art. 90 i art. 91 ustawy z dnia 11 marca 2004r. o podatku od towarów i usług (Dz.U. z 2022r., poz. 931 z późn. zm.) i § 3 ust. 2 rozporządzenia Ministra Finansów w sprawie określenia zakresu wykorzystywania nabywanych towarów i usług do celów działalności gospodarczej w przypadku niektórych podatników z dnia 17 grudnia 2015r. (Dz.U. z 2021 r., poz. 999) zarządzam, co następuje: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</w:rPr>
        <w:t>§ 1. W celu prawidłowego rozliczania podatku naliczonego VAT w przypadku nabyć towarów i usług wykorzystywanych zarówno do celów wykonywanej działalności, jak i do celów innych niż działalność gospodarcza przyjmuje się do stosowania w 2023 roku prewspółczynniki oraz proporcje dla Gminy Skąpe, zgodnie z załącznikiem nr 1 do niniejszego Zarządzenia, zawierającym sposób odliczenia podatku VAT w poszczególnych jednostkach organizacyjnych Gminy Skąpe.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24"/>
          <w:szCs w:val="24"/>
        </w:rPr>
        <w:t>§ 2. Wykonanie Zarządzenia powierza się pracownikom Urzędu Gminy w Skąpem zajmującymi się rozliczeniami podatku VAT oraz kierownikowi Zakładu Wodociągów i Kanalizacji w Skąpem.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24"/>
          <w:szCs w:val="24"/>
        </w:rPr>
        <w:t>§ 3. Zarządzenie wchodzi w życie z dniem wydania z mocą obowiązującą od 1 stycznia 2023 roku.</w:t>
      </w:r>
    </w:p>
    <w:sectPr>
      <w:footnotePr>
        <w:pos w:val="pageBottom"/>
        <w:numFmt w:val="decimal"/>
        <w:numRestart w:val="continuous"/>
      </w:footnotePr>
      <w:pgSz w:w="12240" w:h="18720"/>
      <w:pgMar w:top="2324" w:right="553" w:bottom="2324" w:left="839" w:header="1896" w:footer="1896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CharStyle3">
    <w:name w:val="Body text|1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CharStyle6">
    <w:name w:val="Body text|2_"/>
    <w:basedOn w:val="DefaultParagraphFont"/>
    <w:link w:val="Style5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Style2">
    <w:name w:val="Body text|1"/>
    <w:basedOn w:val="Normal"/>
    <w:link w:val="CharStyle3"/>
    <w:pPr>
      <w:widowControl w:val="0"/>
      <w:shd w:val="clear" w:color="auto" w:fill="auto"/>
      <w:spacing w:after="540"/>
    </w:pPr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paragraph" w:customStyle="1" w:styleId="Style5">
    <w:name w:val="Body text|2"/>
    <w:basedOn w:val="Normal"/>
    <w:link w:val="CharStyle6"/>
    <w:pPr>
      <w:widowControl w:val="0"/>
      <w:shd w:val="clear" w:color="auto" w:fill="auto"/>
      <w:spacing w:after="44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