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Kierownik Jednostki Samorządu Terytorialnego (dalej JST) - w rozumieniu art. 33 ust. 3 Ustawy z dnia 8 marca 1990 r. o samorządzie gminnym (tj. Dz. U. z 2022 r. poz. 559 , 583)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Dane Podmiotu wnoszącego petycję znajdują się poniżej oraz w załączonym pliku sygnowanym kwalifikowanym podpisem elektronicznym - stosownie do dyspozycji Ustawy z dnia 5 września 2016 r. o usługach zaufania oraz identyfikacji elektronicznej (t.j. Dz. U. z 2019 r. poz. 162, 1590)  oraz przepisów art. 4 ust. 5 Ustawy o petycjach ( tj. Dz.U. 2018 poz. 870) 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Data dostarczenia  zgodna z dyspozycją art. 61 pkt. 2 Ustawy Kodeks Cywilny (t.j. Dz. U. z 2020 r. poz. 1740)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Adresatem Wniosku/Petycji* - jest Organ  ujawniony w komparycji - jednoznacznie identyfikowalny  za pośrednictwem adresu e-mail pod którym odebrano niniejszy wniosek/petycję.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Rzeczony adres e-mail uzyskano z Biuletynu Informacji Publicznej Urzędu.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 razie wątpliwości co do trybu jaki należy zastosować do naszego pisma - wnosimy o bezwzględne zastosowanie dyspozycji art. 222 Ustawy z dnia 14 czerwca 1960 r. Kodeks postępowania administracyjnego ( t.j. Dz. U. z 2020 r. poz. 256, 695)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Preambuła Wniosku/Petycji*: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Art. 7 ust. 1 pkt. 5 Ustawy z dnia 8 marca 1990 r. o samorządzie gminnym (tj. Dz. U. z 2022 r. poz. 559 , 583)   - expressis verbis nakazał Decydentom „...zaspokajanie zbiorowych potrzeb wspólnoty…"  - w ramach zadań własnych Gminy - do których w szczególności należą sprawy związane z (…) ochroną zdrowia.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 ogólnym zakresie nakazują to również przepisy Konstytucji RP.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Gdzie jak wiadomo powszechnie, w polskim  systemie prawnym szczególną i niekwestionowaną rolę odgrywa art. - art. 68 ust 1 i ust 4 Konstytucji RP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 xml:space="preserve">„ 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(…)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1. Każdy ma prawo do ochrony zdrowia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4. „Władze publiczne są obowiązane do zwalczania chorób epidemicznych i zapobiegania negatywnym dla zdrowia skutkom degradacji środowiska”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Tymczasem - jak wynika z naszych poprzednich akcji uzyskiwania informacji publicznych - o ile coraz to większą wagę w Gminach przywiązuje się do jakości powietrza „na zewnątrz” - całkowicie pomijany jest aspekt jakości powietrza w pomieszczeniach Urzędowych.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Biorąc pod uwagę fakt, że jeszcze niedawno w całej rozciągłości obowiązywała  Ustawa o szczególnych rozwiązaniach z związanych z COVID-19 (…) oraz aspekt ciągłego zagrożenia ze strony pandemii - bezczynność w tym obszarze wydaje się niezrozumiała i nieracjonalna - szczególnie w stosunku do własnych pracowników Urzędu, jak rownież Petentów odwiedzających Urząd.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Na rynku światowym funkcjonuje już wiele rodzajów urządzeń - do dezynfekcji wnętrz - w Krajach UE i USA - wyłapywanie i zabijanie patogenów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(w szczególności wirusów, bakterii, toksycznych substancji chemicznych, etc) 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w zamkniętych przestrzeniach publicznych stało się normą.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Stosowanie urządzeń filtrujących powietrze - dzięki którym następuje redukcja liczby krążących cząsteczek wirusa grypy A, redukcja miano wirusa MS2 Bacteriophage - powodującego COVID-19, czy redukcja ditlenku azotu, etc - za pomocą  Technologii niskoenergetycznej plazmy - stały się powszechnym zwyczajem w Urzędach użyteczności publicznej.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W ramach wielostopniowej filtracji patogeny są błyskawicznie niszczone na poziome DNA, co w efekcie przyczynia się do dużych oszczędności publicznych pieniędzy w związku z mniejszą absencją chorobową Urzędników oraz mniejszymi kosztami leczenia Petentów. 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Dlatego biorąc pod uwagę powyższe, oraz uzasadniony społecznie - interes pro publico bono, wnosimy: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Osnowa Wniosku: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§1) Na mocy art. 61 Konstytucji RP, w trybie art. 6 ust. 1 pkt. 1 lit c oraz art. 6 ust. 1 pkt. 2 lit. c Ustawy z dnia 6 września o dostępie do informacji publicznej (t.j. Dz. U. z 2020 r.) wnosimy o udzielnie informacji publicznej - czy Gmina/Miasto stosuje/stosowała w pomieszczeniach urządzenia, o których wzmiankuje Wnioskodawca w preambule niniejszego wniosku.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§1.2) Na mocy wzmiankowanych powyżej przepisów, art. 61 Konstytucji RP, w trybie art. 6 ust. 1 pkt 2 lit. d i pkt. 3   wzmiankowanej Ustawy o dostępie do informacji publicznej (t.j. Dz. U. z 2022 r. poz. 902.)  wnosimy o udzielnie informacji publicznej w przedmiocie - czy Gmina w ciągu ostatnich 2 lat dokonywała zakupu urządzeń do dekontaminacji pomieszczeń?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§1.3) Jeśli odpowiedź jest twierdząca -  w trybie wyżej powołanych przepisów - wnosimy o wyszczególnienie w odpowiedzi rodzaju tych urządzeń oraz wydatkowanych środków publicznych (pieniędzy Podatników)  - na zakup tego typu urządzeń,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§1.4) Wnosimy o podanie danych kontaktowych Urzędnika, który w zakresie powierzonych mu zadań i wykonywanych kompetencji nadzoruje sprawy związane z zadaniami dotyczącymi tego obszaru wypełniania zadań publicznych  - sensu largo, etc  - scilicet:  (Imię i nazwisko, adres do korespondencji e-mail, tel. i stanowisko służbowe Urzędnika)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Jeśli nie ma takiego wytypowanego pracownika - wnosimy o podanie danych Urzędnika, który w ramach wykonywania powierzonych Mu obowiązków - realizuje  zadania i kompetencje w obszarze najbliższym do zasygnalizowanego. 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II - Petycja Odrębna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§2)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W trybie Ustawy o petycjach (Dz.U.2018.870 tj. z dnia 2018.05.10)  -  biorąc pod uwagę, iż dbałość o zdrowie i komfort Interesantów, Pracowników Urzędu, uczniów w szkołach publicznych, etc -  należy z pewnością do wartości wymagających szczególnej ochrony w imię dobra wspólnego, mieszczących się w zakresie zadań i kompetencji adresata petycji - wnosimy o: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§2.1) Wykonanie rekonesansu w obszarze związanym z potrzebą udostępniania przez Urząd urządzeń wyżej wzmiankowanych - służących do dezynfekcji powietrza w miejscach użyteczności publicznej - jak wyżej opisano.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§2.2)   Zaplanowanie postępowania w trybie uproszczonym do 130 tys. pln  lub w trybie Ustawy prawo zamówień publicznych, którego przedmiotem będzie zamówienie tego typu urządzeń - jeszcze przed zimową ewentualną - kolejną falą pandemii.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Zdaniem wnoszącego - niniejsze pismo należy go procedować dwutorowo w trybie ustawy o petycjach i ustawy o dostępie do inf. publicznej  - dla zmniejszenia marnotrawstwa papieru i procedur biurokratycznych wniosek i petycję przesyłamy en-bloc - w jednym piśmie. 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*Nie jest to łączenie trybów - zatem prosimy kwalifikować niniejsze pisma jako dwa środki prawne - wniosek  i odrębną petycję   -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vide -  J. Borkowski (w:) B. Adamiak, J. Borkowski, Kodeks postępowania…, s. 668; por. także art. 12 ust. 1 komentowanej ustawy - dostępne w sieci Internet. 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 razie wątpliwości co do trybu jaki należy zastosować do naszego pisma - wnosimy o bezwzględne zastosowanie dyspozycji art. 222 Ustawy z dnia 14 czerwca 1960 r. Kodeks postępowania administracyjnego ( t.j. Dz. U. z 2020 r. poz. 256, 695)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Oczywiście ABY NASZA PETYCJA NIE BYŁA W ŻADNYM RAZIE ŁĄCZONA Z PÓŹNIEJSZYM ewentualnym trybem zamówienia  nie musimy dodawać, że jesteśmy przekonani, iż postępowanie będzie prowadzone z uwzględnieniem zasad uczciwej konkurencji - i o wyborze oferenta będą decydować jedynie  ustalone przez decydentów kryteria związane inter alia z aktualnym stanem prawnym, bezpieczeństwem oraz racjonalnym wydatkowaniem środków publicznych.  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§2.3) Aby zachować pełną jawność i transparentność działań - wnosimy o opublikowanie treści petycji na stronie internetowej podmiotu rozpatrującego petycję lub urzędu go obsługującego (Adresata)  - na podstawie art. 8 ust. 1 ww. Ustawy o petycjach   - co jest jednoznaczne z wyrażeniem zgody na publikację wszystkich danych. Chcemy działać w pełni jawnie i transparentnie.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§3) Wnosimy o zwrotne potwierdzenie otrzymania niniejszego wniosku w trybie §7  Rozporządzenia Prezesa Rady Ministrów z dnia 8 stycznia 2002 r. w sprawie organizacji przyjmowania i rozpatrywania s. i wniosków. (Dz. U. z dnia 22 styczna 2002 r. Nr 5, poz. 46) -  na adres e-mail: dekonatminacja@samorzad.pl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§4) Wnosimy o to, aby odpowiedź w  przedmiocie powyższych pytań i petycji złożonych na mocy art. 63 Konstytucji RP - w związku z art.  241 KPA, została udzielona - zwrotnie na adres e-mail dekontaminacja@samorzad.pl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§5) Wniosek został sygnowany bezpiecznym, kwalifikowanym podpisem elektronicznym - stosownie do wytycznych Ustawy z dnia 5 września 2016 r. o usługach zaufania oraz identyfikacji elektronicznej (Dz.U.2016.1579 dnia 2016.09.29)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Współwnioskodawca: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Osoba Prawna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Szulc-Efekt sp. z o. o.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Prezes Zarządu - Adam Szulc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ul. Poligonowa 1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04-051 Warszawa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nr KRS: 0000059459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Kapitał Zakładowy: 222.000,00 pln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www.gmina.pl    www.samorzad.pl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Zwyczajowy komentarz do Wniosku: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Adresat jest jednoznacznie identyfikowany - na podstawie - unikalnego adresu e-mail opublikowanego w Biuletynie Informacji Publicznej Jednostki i przypisanego do odnośnego Organu.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Rzeczony adres e-mail - zgodnie z dyspozycją art. 1 i 8 ustawy o dostępie do informacji publicznej - stanowiąc informację pewną i potwierdzoną - jednoznacznie oznacza adresata petycji/wniosku. (Oznaczenie adresata petycji/wniosku)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Pomimo, iż w rzeczonym wniosku powołujemy się na art. 241 Ustawy z dnia 14 czerwca 1960 r. Kodeks postępowania administracyjnego (t.j. Dz. U. z 2021 r. poz. 735 , 2052)   -  w naszym mniemaniu - nie oznacza to, że Urząd powinien rozpatrywać niniejsze wnioski w trybie KPA  - należy w tym przypadku zawsze stosować art. 222 KPA.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 opinii Wnioskodawcy Urząd powinien w zależności od dokonanej interpretacji treści pisma  - procedować nasze wnioski  -  ad exemplum w trybie Ustawy o petycjach (Dz.U.2014.1195 z dnia 2014.09.05)  lub odpowiednio Ustawy o dostępie do informacji publicznej (wynika to zazwyczaj z jego treści i powołanych podstaw prawnych) - lub stosować art. 222KPA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Zatem - wg. Wnioskodawcy niniejszy wniosek może być jedynie fakultatywnie rozpatrywany - jako optymalizacyjny w związku z art. 241 KPA.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 naszych wnioskach/petycjach  często powołujemy sie na  wzmiankowany art. 241 KPA - scilicet: "Przedmiotem wniosku mogą być w szczególności sprawy ulepszenia organizacji, wzmocnienia praworządności, usprawnienia pracy i zapobiegania nadużyciom, ochrony własności, lepszego zaspokajania potrzeb ludności.” - w sensie możliwości otwarcia procedury sanacyjnej.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Każdy Podmiot mający styczność z Urzędem - ma prawo i obowiązek - usprawniać struktury administracji samorządowej i każdy Podmiot bez wyjątku ma obowiązek walczyć o lepszą przyszłość dla Polski.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Zatem pomimo formy zewnętrznej - Decydenci mogą/powinni dokonać własnej interpretacji  - zgodnie z brzmieniem art. 222 KPA.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Nazwa Wnioskodawca/Petycjodawca - jest dla uproszczenia stosowna jako synonim nazwy “Podmiot Wnoszący Petycję” - w rozumieniu art. 4 ust. 4 Ustawy o petycjach (Dz.U.2014.1195 z dnia 2014.09.05)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Pozwalamy sobie również przypomnieć, że  ipso iure art. 2 ust. 2 Ustawy o dostępie do informacji publicznej “ (…) Od osoby wykonującej prawo do informacji publicznej nie wolno żądać wykazania interesu prawnego lub faktycznego.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Wnioskodawca   - pro forma podpisał - niniejszy wniosek -  bezpiecznym kwalifikowanym podpisem elektronicznym  (w załączeniu stosowne pliki) - choć według aktualnego orzecznictwa brak podpisu elektronicznego nie powoduje bezprzedmiotowości wniosku, stosownie do orzeczenia: Naczelnego Sądu Administracyjnego w Warszawie I OSK 1277/08.  Podkreślamy jednocześnie, iż przedmiotowy wniosek traktujemy jako próbę usprawnienia organizacji działania Jednostek Administracji Publicznej  - w celu lepszego zaspokajania potrzeb ludności. Do wniosku dołączono plik podpisany bezpiecznym kwalifikowanym podpisem elektronicznym, zawiera on taką samą treść, jak ta która znajduje się w niniejszej wiadomości e-mail.  Weryfikacja podpisu i odczytanie pliku wymaga posiadania oprogramowania, które bez ponoszenia opłat, można uzyskać na stronach WWW podmiotów - zgodnie z ustawą, świadczących usługi certyfikacyjne.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Celem naszych wniosków jest - sensu largo - usprawnienie, naprawa - na miarę istniejących możliwości - funkcjonowania struktur Administracji Publicznej - głownie w Gminach/Miastach  - gdzie jak wynika z naszych wniosków - stan faktyczny wymaga wszczęcia procedur sanacyjnych.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W Jednostkach Pionu Administracji Rządowej - stan faktyczny jest o wiele lepszy.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 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Zwracamy uwagę, że Ustawodawca do tego stopnia stara się - poszerzyć spektrum możliwości porównywania cen i wyboru różnych opcji rynkowych oraz przeciwdziałać korupcji w Administracji Publicznej - że nakazał w §6 ust. 2 pkt. 2 załącznika nr 1 do Rozporządzenia Prezesa Rady Ministrów z dnia 18 stycznia 2011 r. w sprawie instrukcji kancelaryjnej, (…) (Dz. U. z dnia 20 stycznia 2011 r.) -  archiwizowanie, również wszystkich niezamówionych ofert, a co dopiero petycji i wniosków optymalizacyjnych. Cieszy nas ten fakt niemiernie, przyczyni się z pewnością do większej rozwagi w wydatkowaniu środków publicznych.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Duża ilość powoływanych przepisów prawa w przedmiotowym wniosku, wiąże się z tym, że chcemy uniknąć wyjaśniania intencji i podstaw prawnych w rozmowach telefonicznych - co rzadko, ale jednak, ciągle ma miejsce w przypadku nielicznych JST.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Jeżeli JST nie zgada się z powołanymi przepisami prawa, prosimy aby zastosowano podstawy prawne akceptowane przez JST.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Dobro Petenta i jawność życia publicznego jest naszym nadrzędnym celem, dlatego staramy się również upowszechniać zapisy Ustawowe dotyczące Wnioskowania. Kwestie te Ustawodawca podkreślił i uregulował w art. 63 Konstytucji RP: "Każdy ma prawo składać petycje, wnioski i skargi w interesie publicznym, własnym lub innej osoby za jej zgodą do organów władzy publicznej oraz do organizacji i instytucji społecznych w związku z wykonywanymi przez nie zadaniami zleconymi z zakresu administracji publicznej." oraz w art. 54 ust. 1 Konstytucji RP "Każdemu zapewnia się wolność wyrażania swoich poglądów oraz pozyskiwania i rozpowszechniania informacji."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Pamiętajmy również o przepisach zawartych inter alia: w art. 225 KPA: </w:t>
      </w:r>
      <w:r>
        <w:rPr>
          <w:rFonts w:eastAsia="Times New Roman" w:cs="Arial" w:ascii="Arial" w:hAnsi="Arial"/>
          <w:b/>
          <w:bCs/>
          <w:color w:val="000000"/>
          <w:sz w:val="16"/>
          <w:szCs w:val="16"/>
          <w:lang w:eastAsia="pl-PL"/>
        </w:rPr>
        <w:t>"§ 1. Nikt nie może być narażony na jakikolwiek uszczerbek lub zarzut z powodu złożenia skargi lub wniosku albo z powodu dostarczenia materiału do publikacji o znamionach skargi lub wniosku, jeżeli działał w granicach prawem dozwolonych</w:t>
      </w: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. § 2. Organy państwowe, organy jednostek samorządu terytorialnego i inne organy samorządowe oraz organy organizacji społecznych są obowiązane przeciwdziałać hamowaniu krytyki i innym działaniom ograniczającym prawo do składania skarg i wniosków lub dostarczania informacji - do publikacji - o znamionach skargi lub wniosku.”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Jeśli do przedmiotowego wniosku dołączono petycję - należy uznać, że Stosownie do art. 4 ust. 2 pkt. 1 Ustawy o petycjach ( tj. Dz.U. 2018 poz. 870)  -  osobą reprezentująca Podmiot wnoszący petycję - jest Prezes Zarządu wskazany w stopce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*Stosownie do art. 4 ust. 2 pkt. 5 ww. Ustawy - petycja niniejsza została złożona za pomocą środków komunikacji elektronicznej - a wskazanym zwrotnym adresem poczty elektronicznej jest skrzynka poczty elektronicznej Adresata ujawniona w BIP i z BIP pozyskana przez wnioskodawcę/petycjodawcę, etc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Adresatem Petycji - jest Organ ujawniony w komparycji.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Kierownik Jednostki Samorządu Terytorialnego (dalej JST)  - w rozumieniu art. 33 ust. 3 Ustawy o samorządzie gminnym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Eksperci NIK piszą: "Niewielka liczba składanych wniosków o udzielenie informacji publicznej, liczba skarg złożonych do WSA, jak również liczba pozwów złożonych do sądów rejonowych, świadczyć może o braku zainteresowania w egzekwowaniu powszechnego prawa do informacji publicznej. Z drugiej strony, realizację tego prawa utrudniają podmioty zobowiązane do pełnej przejrzystości swojego działania, poprzez nieudostępnianie wymaganej informacji publicznej" [Protokół pokontrolny dostępny w sieci Internet: LBY-4101-09/2010]. Mamy nadzieję, zmienić powyższą ocenę, być może nasz wniosek choć w niewielkim stopniu – przyczyni się do zwiększenia tych wskaźników.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Postulujemy, ABY NASZA PETYCJA NIE BYŁA W ŻADNYM RAZIE ŁĄCZONA Z PÓŹNIEJSZYM jakimkolwiek trybem zamówienia  nie musimy dodawać, że mamy nadzieję, iż wszelkie postępowania będą  prowadzone z uwzględnieniem zasad uczciwej konkurencji - i o wyborze oferenta będą decydować jedynie ustalone przez decydentów kryteria związane inter alia z parametrami ofert oraz ceną.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Oczywiście - wszelkie ewentualne postępowania - ogłoszone przez Jednostkę Administracji Publicznej - będące następstwem niniejszego wniosku - należy przeprowadzić zgodnie z rygorystycznymi zasadami wydatkowania środków publicznych -  z uwzględnieniem stosowania zasad uczciwej konkurencji, przejrzystości i transparentności -  zatem w pełni lege artis.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Ponownie sygnalizujemy, że do wniosku dołączono plik podpisany  kwalifikowanym podpisem elektronicznym.  Weryfikacja podpisu i odczytanie pliku wymaga posiadania oprogramowania, które bez ponoszenia opłat, można uzyskać na stronach WWW podmiotów - zgodnie z ustawą, świadczących usługi certyfikacyjne. </w:t>
      </w:r>
    </w:p>
    <w:p>
      <w:pPr>
        <w:pStyle w:val="Normal"/>
        <w:rPr>
          <w:rFonts w:ascii="Arial" w:hAnsi="Arial" w:eastAsia="Times New Roman" w:cs="Arial"/>
          <w:color w:val="000000"/>
          <w:sz w:val="16"/>
          <w:szCs w:val="16"/>
          <w:lang w:eastAsia="pl-PL"/>
        </w:rPr>
      </w:pPr>
      <w:r>
        <w:rPr>
          <w:rFonts w:eastAsia="Times New Roman" w:cs="Arial" w:ascii="Arial" w:hAnsi="Arial"/>
          <w:color w:val="000000"/>
          <w:sz w:val="16"/>
          <w:szCs w:val="16"/>
          <w:lang w:eastAsia="pl-PL"/>
        </w:rPr>
        <w:t>* - niepotrzebne - pominąć </w:t>
      </w:r>
    </w:p>
    <w:p>
      <w:pPr>
        <w:pStyle w:val="Normal"/>
        <w:rPr>
          <w:rFonts w:ascii="Arial" w:hAnsi="Arial" w:eastAsia="Times New Roman" w:cs="Arial"/>
          <w:sz w:val="16"/>
          <w:szCs w:val="16"/>
          <w:lang w:eastAsia="pl-PL"/>
        </w:rPr>
      </w:pPr>
      <w:r>
        <w:rPr>
          <w:rFonts w:eastAsia="Times New Roman" w:cs="Arial" w:ascii="Arial" w:hAnsi="Arial"/>
          <w:sz w:val="16"/>
          <w:szCs w:val="16"/>
          <w:lang w:eastAsia="pl-PL"/>
        </w:rPr>
      </w:r>
    </w:p>
    <w:p>
      <w:pPr>
        <w:pStyle w:val="Normal"/>
        <w:rPr>
          <w:rFonts w:ascii="Arial" w:hAnsi="Arial" w:cs="Arial"/>
          <w:sz w:val="16"/>
          <w:szCs w:val="16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convertedspace" w:customStyle="1">
    <w:name w:val="apple-converted-space"/>
    <w:basedOn w:val="DefaultParagraphFont"/>
    <w:qFormat/>
    <w:rsid w:val="00177fa4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LibreOffice/7.3.3.2$Windows_X86_64 LibreOffice_project/d1d0ea68f081ee2800a922cac8f79445e4603348</Application>
  <AppVersion>15.0000</AppVersion>
  <Pages>6</Pages>
  <Words>2362</Words>
  <Characters>14189</Characters>
  <CharactersWithSpaces>16614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2022-10-13T13:14:00Z</dcterms:created>
  <dc:creator>Adam Szulc</dc:creator>
  <dc:description/>
  <dc:language>pl-PL</dc:language>
  <cp:lastModifiedBy>Adam Szulc</cp:lastModifiedBy>
  <dcterms:modified xsi:type="dcterms:W3CDTF">2022-10-13T13:17:00Z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