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2"/>
        <w:bidi w:val="0"/>
        <w:spacing w:before="240" w:after="240"/>
        <w:jc w:val="end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bCs/>
          <w:color w:val="000000" w:themeColor="text1"/>
          <w:sz w:val="24"/>
          <w:szCs w:val="24"/>
          <w:lang w:eastAsia="pl-PL"/>
        </w:rPr>
        <w:t>Załącznik nr 4 do Regulaminu naboru i uczestnictwa w Projekcie</w:t>
        <w:br/>
        <w:t xml:space="preserve">„Chełmski Klub Rozwoju Cyfrowego”  </w:t>
      </w:r>
    </w:p>
    <w:p>
      <w:pPr>
        <w:pStyle w:val="Nagwek2"/>
        <w:bidi w:val="0"/>
        <w:spacing w:lineRule="auto" w:line="240"/>
        <w:jc w:val="center"/>
        <w:rPr>
          <w:rFonts w:ascii="Arial" w:hAnsi="Arial"/>
          <w:sz w:val="24"/>
          <w:szCs w:val="24"/>
        </w:rPr>
      </w:pPr>
      <w:bookmarkStart w:id="0" w:name="_Hlk201568930"/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 xml:space="preserve">INFORMACJA O PRZETWARZANIU DANYCH OSOBOWYCH </w:t>
      </w:r>
      <w:bookmarkEnd w:id="0"/>
      <w:r>
        <w:rPr>
          <w:rFonts w:eastAsia="Times New Roman" w:cs="Times New Roman" w:ascii="Arial" w:hAnsi="Arial"/>
          <w:b/>
          <w:bCs/>
          <w:color w:val="000000" w:themeColor="text1"/>
          <w:sz w:val="24"/>
          <w:szCs w:val="24"/>
          <w:lang w:eastAsia="pl-PL"/>
        </w:rPr>
        <w:t>DLA UCZESTNIKÓW PROJEKTU</w:t>
      </w:r>
    </w:p>
    <w:p>
      <w:pPr>
        <w:pStyle w:val="Nagwek2"/>
        <w:bidi w:val="0"/>
        <w:spacing w:lineRule="auto" w:line="240"/>
        <w:jc w:val="center"/>
        <w:rPr>
          <w:rFonts w:ascii="Arial" w:hAnsi="Arial"/>
          <w:sz w:val="24"/>
          <w:szCs w:val="24"/>
        </w:rPr>
      </w:pPr>
      <w:bookmarkStart w:id="1" w:name="_Hlk193804655"/>
      <w:r>
        <w:rPr>
          <w:rFonts w:eastAsia="Times New Roman" w:cs="Times New Roman" w:ascii="Arial" w:hAnsi="Arial"/>
          <w:b/>
          <w:bCs/>
          <w:color w:val="000000" w:themeColor="text1"/>
          <w:sz w:val="24"/>
          <w:szCs w:val="24"/>
          <w:lang w:eastAsia="zh-CN"/>
        </w:rPr>
        <w:t>„</w:t>
      </w:r>
      <w:r>
        <w:rPr>
          <w:rFonts w:eastAsia="Times New Roman" w:cs="Times New Roman" w:ascii="Arial" w:hAnsi="Arial"/>
          <w:b/>
          <w:bCs/>
          <w:color w:val="000000" w:themeColor="text1"/>
          <w:sz w:val="24"/>
          <w:szCs w:val="24"/>
          <w:lang w:eastAsia="zh-CN"/>
        </w:rPr>
        <w:t>Chełmski Klubu Rozwoju Cyfrowego”</w:t>
      </w:r>
      <w:bookmarkEnd w:id="1"/>
    </w:p>
    <w:p>
      <w:pPr>
        <w:pStyle w:val="Normal"/>
        <w:suppressAutoHyphens w:val="true"/>
        <w:bidi w:val="0"/>
        <w:spacing w:lineRule="auto" w:line="276" w:beforeAutospacing="1" w:afterAutospacing="1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Działając na podstawie art. 13 rozporządzenia Parlamentu Europejskiego i Rady (UE) 2016/679 z dnia 27 kwietnia 2016 r. w sprawie ochrony osób fizycznych w związku             z przetwarzaniem danych osobowych i w sprawie swobodnego przepływu takich danych oraz uchylenia dyrektywy 95/46/WE (ogólne rozporządzenie o ochronie danych) – dalej zwanego “Rozporządzeniem”, Prezydent Miasta Chełm informuje, że:</w:t>
      </w:r>
    </w:p>
    <w:p>
      <w:pPr>
        <w:pStyle w:val="Normal"/>
        <w:suppressAutoHyphens w:val="true"/>
        <w:bidi w:val="0"/>
        <w:spacing w:lineRule="auto" w:line="276" w:before="0" w:after="12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1. Administrator danych osobowych</w:t>
      </w:r>
    </w:p>
    <w:p>
      <w:pPr>
        <w:pStyle w:val="Standard"/>
        <w:spacing w:before="0" w:after="120"/>
        <w:jc w:val="both"/>
        <w:rPr/>
      </w:pPr>
      <w:r>
        <w:rPr>
          <w:rFonts w:cs="Times New Roman" w:ascii="Arial" w:hAnsi="Arial"/>
          <w:sz w:val="24"/>
          <w:szCs w:val="24"/>
        </w:rPr>
        <w:t>Administratorem Państwa danych osobowych jest Urząd Miasta Chełm, za którego czynności z zakresu prawa pracy wykonuje Prezydent Miasta Chełm, adres</w:t>
        <w:br/>
        <w:t xml:space="preserve">do korespondencji Urząd Miasta Chełm, ul. Lubelska 65, 22-100 Chełm, </w:t>
      </w:r>
      <w:hyperlink r:id="rId2">
        <w:r>
          <w:rPr>
            <w:rStyle w:val="Czeinternetowe"/>
            <w:rFonts w:cs="Times New Roman" w:ascii="Arial" w:hAnsi="Arial"/>
            <w:sz w:val="24"/>
            <w:szCs w:val="24"/>
          </w:rPr>
          <w:t>info@umchelm.pl</w:t>
        </w:r>
      </w:hyperlink>
      <w:r>
        <w:rPr>
          <w:rFonts w:cs="Times New Roman" w:ascii="Arial" w:hAnsi="Arial"/>
          <w:sz w:val="24"/>
          <w:szCs w:val="24"/>
        </w:rPr>
        <w:t>, tel.: (82) 565-20-70.</w:t>
      </w:r>
    </w:p>
    <w:p>
      <w:pPr>
        <w:pStyle w:val="Standard"/>
        <w:spacing w:before="0" w:after="120"/>
        <w:jc w:val="both"/>
        <w:rPr/>
      </w:pPr>
      <w:r>
        <w:rPr>
          <w:rFonts w:cs="Times New Roman" w:ascii="Arial" w:hAnsi="Arial"/>
          <w:sz w:val="24"/>
          <w:szCs w:val="24"/>
        </w:rPr>
        <w:t xml:space="preserve">Administrator wyznaczył Inspektora Ochrony Danych z którym można skontaktować                     się za pośrednictwem adresu email: </w:t>
      </w:r>
      <w:hyperlink r:id="rId3">
        <w:r>
          <w:rPr>
            <w:rStyle w:val="Czeinternetowe"/>
            <w:rFonts w:cs="Times New Roman" w:ascii="Arial" w:hAnsi="Arial"/>
            <w:sz w:val="24"/>
            <w:szCs w:val="24"/>
          </w:rPr>
          <w:t>iod@umchelm.pl</w:t>
        </w:r>
      </w:hyperlink>
      <w:r>
        <w:rPr>
          <w:rFonts w:cs="Times New Roman" w:ascii="Arial" w:hAnsi="Arial"/>
          <w:sz w:val="24"/>
          <w:szCs w:val="24"/>
        </w:rPr>
        <w:t xml:space="preserve"> lub wysyłając list na adres administratora.</w:t>
      </w:r>
    </w:p>
    <w:p>
      <w:pPr>
        <w:pStyle w:val="Normal"/>
        <w:suppressAutoHyphens w:val="true"/>
        <w:bidi w:val="0"/>
        <w:spacing w:lineRule="auto" w:line="240" w:before="0" w:after="12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2. Cel i podstawa prawna przetwarzania danych</w:t>
      </w:r>
    </w:p>
    <w:p>
      <w:pPr>
        <w:pStyle w:val="ListParagraph"/>
        <w:suppressAutoHyphens w:val="true"/>
        <w:bidi w:val="0"/>
        <w:spacing w:lineRule="auto" w:line="240" w:before="0" w:after="120"/>
        <w:ind w:start="6" w:hanging="0"/>
        <w:contextualSpacing w:val="false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 xml:space="preserve">Państwa dane osobowe przetwarzane będą w celu przeprowadzenia rekrutacji oraz realizacji Projektu pod nazwą </w:t>
      </w: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„Chełmski Klub Rozwoju Cyfrowego”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, zwanego dalej „</w:t>
      </w: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Projektem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”,</w:t>
      </w:r>
      <w:r>
        <w:rPr>
          <w:rFonts w:eastAsia="Times New Roman" w:cs="Times New Roman" w:ascii="Arial" w:hAnsi="Arial"/>
          <w:color w:val="EE0000"/>
          <w:sz w:val="24"/>
          <w:szCs w:val="24"/>
          <w:lang w:eastAsia="pl-PL"/>
        </w:rPr>
        <w:t xml:space="preserve"> 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a w szczególności: jego rozliczenia, potwierdzenia kwalifikowalności wydatków, udzielenia wsparcia, monitoringu, ewaluacji, kontroli, audytu                               i sprawozdawczości oraz działań informacyjno-promocyjnych w ramach programu Fundusze Europejskie dla Rozwoju Społecznego 2021-2027 współfinansowanego            ze środków Europejskiego Funduszu Społecznego Plus, działanie 01.09 Rozwój kompetencji cyfrowych a także w celach archiwizacyjnych.</w:t>
      </w:r>
    </w:p>
    <w:p>
      <w:pPr>
        <w:pStyle w:val="Normal"/>
        <w:suppressAutoHyphens w:val="true"/>
        <w:bidi w:val="0"/>
        <w:spacing w:lineRule="auto" w:line="240" w:before="0" w:after="120"/>
        <w:jc w:val="both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Podstawą prawną przetwarzania danych osobowych jest:</w:t>
      </w:r>
    </w:p>
    <w:p>
      <w:pPr>
        <w:pStyle w:val="Normal"/>
        <w:numPr>
          <w:ilvl w:val="0"/>
          <w:numId w:val="1"/>
        </w:numPr>
        <w:suppressAutoHyphens w:val="true"/>
        <w:bidi w:val="0"/>
        <w:spacing w:lineRule="auto" w:line="240" w:before="0" w:after="120"/>
        <w:jc w:val="both"/>
        <w:rPr/>
      </w:pPr>
      <w:r>
        <w:rPr>
          <w:rFonts w:cs="Times New Roman" w:ascii="Arial" w:hAnsi="Arial"/>
          <w:sz w:val="24"/>
          <w:szCs w:val="24"/>
        </w:rPr>
        <w:t>art. 6 ust.1 lit c RODO tj. obowiązek prawny ciążący na administratorze,</w:t>
      </w:r>
    </w:p>
    <w:p>
      <w:pPr>
        <w:pStyle w:val="ListParagraph"/>
        <w:numPr>
          <w:ilvl w:val="0"/>
          <w:numId w:val="1"/>
        </w:numPr>
        <w:suppressAutoHyphens w:val="true"/>
        <w:bidi w:val="0"/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 xml:space="preserve">art. 9 ust. 2 lit. g RODO </w:t>
      </w:r>
      <w:r>
        <w:rPr>
          <w:rFonts w:cs="Times New Roman" w:ascii="Arial" w:hAnsi="Arial"/>
          <w:sz w:val="24"/>
          <w:szCs w:val="24"/>
        </w:rPr>
        <w:t xml:space="preserve">tj. 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 xml:space="preserve">RODO niezbędność przetwarzania </w:t>
      </w:r>
      <w:r>
        <w:rPr>
          <w:rFonts w:cs="Times New Roman" w:ascii="Arial" w:hAnsi="Arial"/>
          <w:sz w:val="24"/>
          <w:szCs w:val="24"/>
        </w:rPr>
        <w:t>ze względów związanych z ważnym interesem publicznym, na podstawie prawa Unii lub prawa państwa członkowskiego,</w:t>
      </w:r>
    </w:p>
    <w:p>
      <w:pPr>
        <w:pStyle w:val="ListParagraph"/>
        <w:suppressAutoHyphens w:val="true"/>
        <w:bidi w:val="0"/>
        <w:spacing w:lineRule="auto" w:line="276" w:before="0" w:after="0"/>
        <w:ind w:start="720" w:hanging="0"/>
        <w:contextualSpacing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w związku z:</w:t>
      </w:r>
    </w:p>
    <w:p>
      <w:pPr>
        <w:pStyle w:val="ListParagraph"/>
        <w:numPr>
          <w:ilvl w:val="0"/>
          <w:numId w:val="2"/>
        </w:numPr>
        <w:suppressAutoHyphens w:val="true"/>
        <w:bidi w:val="0"/>
        <w:spacing w:lineRule="auto" w:line="276" w:before="0" w:after="0"/>
        <w:contextualSpacing/>
        <w:jc w:val="both"/>
        <w:rPr/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art. 87 i nast. ustawy z dnia 28 kwietnia 2022 roku o zasadach realizacji zadań finansowanych ze środków europejskich w perspektywie finansowej 2021-2027</w:t>
      </w:r>
    </w:p>
    <w:p>
      <w:pPr>
        <w:pStyle w:val="ListParagraph"/>
        <w:numPr>
          <w:ilvl w:val="0"/>
          <w:numId w:val="0"/>
        </w:numPr>
        <w:suppressAutoHyphens w:val="true"/>
        <w:bidi w:val="0"/>
        <w:spacing w:lineRule="auto" w:line="276" w:before="0" w:after="0"/>
        <w:ind w:start="0" w:hanging="0"/>
        <w:contextualSpacing/>
        <w:jc w:val="both"/>
        <w:rPr>
          <w:rFonts w:ascii="Arial" w:hAnsi="Arial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br/>
        <w:t xml:space="preserve">      oraz właściwymi Rozporządzeniami Unijnymi</w:t>
      </w:r>
      <w:r>
        <w:rPr>
          <w:rStyle w:val="Zakotwiczenieprzypisudolnego"/>
          <w:rFonts w:eastAsia="Times New Roman" w:cs="Times New Roman" w:ascii="Arial" w:hAnsi="Arial"/>
          <w:sz w:val="24"/>
          <w:szCs w:val="24"/>
          <w:lang w:eastAsia="pl-PL"/>
        </w:rPr>
        <w:footnoteReference w:customMarkFollows="1" w:id="2"/>
        <w:t>1</w:t>
      </w:r>
    </w:p>
    <w:p>
      <w:pPr>
        <w:pStyle w:val="ListParagraph"/>
        <w:numPr>
          <w:ilvl w:val="0"/>
          <w:numId w:val="2"/>
        </w:numPr>
        <w:suppressAutoHyphens w:val="true"/>
        <w:bidi w:val="0"/>
        <w:spacing w:lineRule="auto" w:line="276" w:before="0" w:after="0"/>
        <w:contextualSpacing/>
        <w:jc w:val="both"/>
        <w:rPr/>
      </w:pPr>
      <w:r>
        <w:rPr>
          <w:rFonts w:cs="Times New Roman" w:ascii="Arial" w:hAnsi="Arial"/>
          <w:bCs/>
          <w:sz w:val="24"/>
          <w:szCs w:val="24"/>
        </w:rPr>
        <w:t>ustawą z dnia 14 czerwca 1960 r. - Kodeks postępowania administracyjnego,</w:t>
      </w:r>
    </w:p>
    <w:p>
      <w:pPr>
        <w:pStyle w:val="ListParagraph"/>
        <w:numPr>
          <w:ilvl w:val="0"/>
          <w:numId w:val="2"/>
        </w:numPr>
        <w:suppressAutoHyphens w:val="true"/>
        <w:bidi w:val="0"/>
        <w:spacing w:lineRule="auto" w:line="276" w:before="0" w:after="0"/>
        <w:contextualSpacing/>
        <w:jc w:val="both"/>
        <w:rPr/>
      </w:pPr>
      <w:r>
        <w:rPr>
          <w:rFonts w:cs="Times New Roman" w:ascii="Arial" w:hAnsi="Arial"/>
          <w:color w:val="000000"/>
          <w:sz w:val="24"/>
          <w:szCs w:val="24"/>
        </w:rPr>
        <w:t>ustawą z dnia 30 kwietnia 2004 r. o postępowaniu w sprawach dotyczących pomocy publicznej,</w:t>
      </w:r>
    </w:p>
    <w:p>
      <w:pPr>
        <w:pStyle w:val="ListParagraph"/>
        <w:numPr>
          <w:ilvl w:val="0"/>
          <w:numId w:val="2"/>
        </w:numPr>
        <w:suppressAutoHyphens w:val="true"/>
        <w:bidi w:val="0"/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bCs/>
          <w:sz w:val="24"/>
          <w:szCs w:val="24"/>
        </w:rPr>
        <w:t>ustawą z dnia 27 sierpnia 2009 r. o finansach publicznych.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1565" w:leader="none"/>
        </w:tabs>
        <w:bidi w:val="0"/>
        <w:spacing w:lineRule="auto" w:line="276" w:before="0" w:after="0"/>
        <w:ind w:start="714" w:hanging="0"/>
        <w:contextualSpacing/>
        <w:jc w:val="both"/>
        <w:rPr>
          <w:rFonts w:ascii="Arial" w:hAnsi="Arial" w:cs="Times New Roman"/>
          <w:iCs/>
          <w:sz w:val="24"/>
          <w:szCs w:val="24"/>
        </w:rPr>
      </w:pPr>
      <w:r>
        <w:rPr>
          <w:rFonts w:cs="Times New Roman" w:ascii="Arial" w:hAnsi="Arial"/>
          <w:iCs/>
          <w:sz w:val="24"/>
          <w:szCs w:val="24"/>
        </w:rPr>
      </w:r>
    </w:p>
    <w:p>
      <w:pPr>
        <w:pStyle w:val="ListParagraph"/>
        <w:numPr>
          <w:ilvl w:val="0"/>
          <w:numId w:val="0"/>
        </w:numPr>
        <w:suppressAutoHyphens w:val="true"/>
        <w:bidi w:val="0"/>
        <w:spacing w:lineRule="auto" w:line="276" w:before="0" w:after="120"/>
        <w:ind w:start="0" w:hanging="0"/>
        <w:contextualSpacing/>
        <w:jc w:val="start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3. Odbiorcy danych osobowych</w:t>
      </w:r>
    </w:p>
    <w:p>
      <w:pPr>
        <w:pStyle w:val="Normal"/>
        <w:suppressAutoHyphens w:val="true"/>
        <w:bidi w:val="0"/>
        <w:spacing w:lineRule="auto" w:line="276" w:before="0" w:after="0"/>
        <w:ind w:hanging="0"/>
        <w:jc w:val="start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Państwa dane osobowe mogą zostać udostępnione:</w:t>
      </w:r>
    </w:p>
    <w:p>
      <w:pPr>
        <w:pStyle w:val="Normal"/>
        <w:numPr>
          <w:ilvl w:val="0"/>
          <w:numId w:val="3"/>
        </w:numPr>
        <w:suppressAutoHyphens w:val="true"/>
        <w:bidi w:val="0"/>
        <w:spacing w:lineRule="auto" w:line="276" w:before="0" w:after="0"/>
        <w:jc w:val="both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 xml:space="preserve">podmiotom wykonującym zadania związane z realizacją Projektu oraz uprawnionym do kontroli, audytu i ewaluacji Projektu, w szczególności 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 xml:space="preserve">Instytucji Zarządzającej       - </w:t>
      </w:r>
      <w:r>
        <w:rPr>
          <w:rFonts w:cs="Times New Roman" w:ascii="Arial" w:hAnsi="Arial"/>
          <w:sz w:val="24"/>
          <w:szCs w:val="24"/>
        </w:rPr>
        <w:t xml:space="preserve">Ministrowi właściwemu do spraw rozwoju regionalnego z siedzibą w Warszawie, 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Instytucji Pośredniczącej - Centrum Projektów Polska Cyfrowa z siedzibą               w Warszawie, ministrowi właściwemu do spraw rozwoju regionalnego wykonującemu zadania państwa członkowskiego, ministrowi właściwemu do spraw finansów publicznych, wspólnemu sekretariatowi, koordynatorom programów Interreg, kontrolerom krajowym, instytucjom pośredniczącym, instytucjom wdrażającym,</w:t>
      </w:r>
    </w:p>
    <w:p>
      <w:pPr>
        <w:pStyle w:val="Normal"/>
        <w:numPr>
          <w:ilvl w:val="0"/>
          <w:numId w:val="3"/>
        </w:numPr>
        <w:suppressAutoHyphens w:val="true"/>
        <w:bidi w:val="0"/>
        <w:spacing w:lineRule="auto" w:line="276" w:before="0" w:after="0"/>
        <w:jc w:val="both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podmiotom, które wykonują dla nas usługi związane z obsługą i rozwojem systemów teleinformatycznych, a także zapewnieniem łączności, np. dostawcom rozwiązań IT,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 xml:space="preserve"> operatorom telekomunikacyjnym lub operatorom pocztowym, kancelariom prawnym,</w:t>
      </w:r>
    </w:p>
    <w:p>
      <w:pPr>
        <w:pStyle w:val="Normal"/>
        <w:numPr>
          <w:ilvl w:val="0"/>
          <w:numId w:val="3"/>
        </w:numPr>
        <w:suppressAutoHyphens w:val="true"/>
        <w:bidi w:val="0"/>
        <w:spacing w:lineRule="auto" w:line="276" w:before="0" w:after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innym organom władzy publicznej oraz podmiotom wykonującym zadania publiczne lub działającym na zlecenie organów władzy publicznej, w zakresie i w celach, które wynikają z przepisów powszechnie obowiązującego prawa.</w:t>
      </w:r>
    </w:p>
    <w:p>
      <w:pPr>
        <w:pStyle w:val="Normal"/>
        <w:numPr>
          <w:ilvl w:val="0"/>
          <w:numId w:val="0"/>
        </w:numPr>
        <w:suppressAutoHyphens w:val="true"/>
        <w:bidi w:val="0"/>
        <w:spacing w:lineRule="auto" w:line="276" w:before="0" w:after="0"/>
        <w:ind w:start="720" w:hanging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suppressAutoHyphens w:val="true"/>
        <w:bidi w:val="0"/>
        <w:spacing w:lineRule="auto" w:line="276" w:before="0" w:after="120"/>
        <w:ind w:start="0" w:hanging="0"/>
        <w:contextualSpacing/>
        <w:jc w:val="start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4. Okres przetwarzania danych osobowych</w:t>
      </w:r>
    </w:p>
    <w:p>
      <w:pPr>
        <w:pStyle w:val="Normal"/>
        <w:suppressAutoHyphens w:val="true"/>
        <w:bidi w:val="0"/>
        <w:spacing w:lineRule="auto" w:line="276" w:before="0" w:after="120"/>
        <w:ind w:start="357" w:hanging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 xml:space="preserve">Państwa dane osobowe </w:t>
      </w:r>
      <w:r>
        <w:rPr>
          <w:rFonts w:cs="Times New Roman" w:ascii="Arial" w:hAnsi="Arial"/>
          <w:color w:val="000000" w:themeColor="text1"/>
          <w:sz w:val="24"/>
          <w:szCs w:val="24"/>
        </w:rPr>
        <w:t xml:space="preserve">będą przechowywane jedynie w okresie niezbędnym              do spełnienia celu, dla którego zostały zebrane, tj. 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przez cały okres obowiązywania Projektu do czasu rozliczenia Programu oraz upływu okresu archiwizacji dokumentacji związanej z tym Programem.</w:t>
      </w:r>
    </w:p>
    <w:p>
      <w:pPr>
        <w:pStyle w:val="Normal"/>
        <w:suppressAutoHyphens w:val="true"/>
        <w:bidi w:val="0"/>
        <w:spacing w:lineRule="auto" w:line="276" w:before="0" w:after="120"/>
        <w:ind w:start="357" w:hanging="0"/>
        <w:jc w:val="both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color w:val="000000" w:themeColor="text1"/>
          <w:sz w:val="24"/>
          <w:szCs w:val="24"/>
        </w:rPr>
        <w:t>Po spełnieniu celu, dla którego Pani/Pana dane zostały zebrane, mogą być one przechowywane jedynie w celach archiwalnych, przez okres wyznaczony na podstawie rozporządzenia Prezesa Rady Ministrów w sprawie instrukcji kancelaryjnej, jednolitych rzeczowych wykazów akt oraz instrukcji w sprawie organizacji i zakresu działania archiwów zakładowych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.</w:t>
      </w:r>
    </w:p>
    <w:p>
      <w:pPr>
        <w:pStyle w:val="ListParagraph"/>
        <w:numPr>
          <w:ilvl w:val="0"/>
          <w:numId w:val="0"/>
        </w:numPr>
        <w:suppressAutoHyphens w:val="true"/>
        <w:bidi w:val="0"/>
        <w:spacing w:lineRule="auto" w:line="276" w:before="0" w:after="120"/>
        <w:ind w:start="0" w:hanging="0"/>
        <w:contextualSpacing w:val="false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5. Przysługujące prawa</w:t>
      </w:r>
    </w:p>
    <w:p>
      <w:pPr>
        <w:pStyle w:val="Normal"/>
        <w:widowControl w:val="false"/>
        <w:suppressAutoHyphens w:val="true"/>
        <w:bidi w:val="0"/>
        <w:spacing w:lineRule="auto" w:line="276" w:before="0" w:after="0"/>
        <w:ind w:start="57" w:end="0" w:hanging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 xml:space="preserve">Na zasadach określonych przepisami rozporządzenia RODO, posiadają Państwo prawo  do żądania od administratora: </w:t>
      </w:r>
    </w:p>
    <w:p>
      <w:pPr>
        <w:pStyle w:val="ListParagraph"/>
        <w:numPr>
          <w:ilvl w:val="0"/>
          <w:numId w:val="9"/>
        </w:numPr>
        <w:suppressAutoHyphens w:val="true"/>
        <w:bidi w:val="0"/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 xml:space="preserve">dostępu do treści swoich danych osobowych, </w:t>
      </w:r>
    </w:p>
    <w:p>
      <w:pPr>
        <w:pStyle w:val="ListParagraph"/>
        <w:numPr>
          <w:ilvl w:val="0"/>
          <w:numId w:val="10"/>
        </w:numPr>
        <w:suppressAutoHyphens w:val="true"/>
        <w:bidi w:val="0"/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sprostowania (poprawiania) swoich danych osobowych,</w:t>
      </w:r>
    </w:p>
    <w:p>
      <w:pPr>
        <w:pStyle w:val="ListParagraph"/>
        <w:numPr>
          <w:ilvl w:val="0"/>
          <w:numId w:val="11"/>
        </w:numPr>
        <w:suppressAutoHyphens w:val="true"/>
        <w:bidi w:val="0"/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 xml:space="preserve">ograniczenia przetwarzania swoich danych osobowych, </w:t>
      </w:r>
    </w:p>
    <w:p>
      <w:pPr>
        <w:pStyle w:val="Normal"/>
        <w:numPr>
          <w:ilvl w:val="0"/>
          <w:numId w:val="12"/>
        </w:numPr>
        <w:bidi w:val="0"/>
        <w:spacing w:lineRule="auto" w:line="276" w:before="0" w:after="240"/>
        <w:jc w:val="both"/>
        <w:rPr>
          <w:rFonts w:ascii="Arial" w:hAnsi="Arial"/>
          <w:sz w:val="24"/>
          <w:szCs w:val="24"/>
        </w:rPr>
      </w:pPr>
      <w:r>
        <w:rPr>
          <w:rFonts w:cs="Times New Roman" w:ascii="Arial" w:hAnsi="Arial"/>
          <w:sz w:val="24"/>
          <w:szCs w:val="24"/>
        </w:rPr>
        <w:t>prawo do usunięcia swoich danych (art. 17 RODO) - jeśli nie zaistniały okoliczności,            o których mowa w art. 17 ust. 3 RODO.</w:t>
      </w:r>
    </w:p>
    <w:p>
      <w:pPr>
        <w:pStyle w:val="ListParagraph"/>
        <w:numPr>
          <w:ilvl w:val="0"/>
          <w:numId w:val="0"/>
        </w:numPr>
        <w:suppressAutoHyphens w:val="true"/>
        <w:bidi w:val="0"/>
        <w:spacing w:lineRule="auto" w:line="276" w:before="0" w:after="120"/>
        <w:ind w:start="0" w:hanging="0"/>
        <w:contextualSpacing w:val="false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6. Prawo wniesienia skargi</w:t>
      </w:r>
    </w:p>
    <w:p>
      <w:pPr>
        <w:pStyle w:val="Normal"/>
        <w:widowControl w:val="false"/>
        <w:suppressAutoHyphens w:val="true"/>
        <w:bidi w:val="0"/>
        <w:spacing w:lineRule="auto" w:line="276" w:before="0" w:after="120"/>
        <w:ind w:start="0" w:end="0" w:hanging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Gdy uznają Państwo, że przetwarzanie Państwa danych osobowych narusza przepisy</w:t>
        <w:br/>
        <w:t>o ochronie danych osobowych, przysługuje Państwu prawo do wniesienia skargi</w:t>
        <w:br/>
        <w:t>do organu nadzorczego, którym jest Prezes Urzędu Ochrony Danych Osobowych,</w:t>
        <w:br/>
        <w:t>z siedzibą w Warszawie, (uodo.gov.pl).</w:t>
      </w:r>
    </w:p>
    <w:p>
      <w:pPr>
        <w:pStyle w:val="ListParagraph"/>
        <w:numPr>
          <w:ilvl w:val="0"/>
          <w:numId w:val="0"/>
        </w:numPr>
        <w:suppressAutoHyphens w:val="true"/>
        <w:bidi w:val="0"/>
        <w:spacing w:lineRule="auto" w:line="276" w:before="0" w:after="120"/>
        <w:ind w:start="0" w:hanging="0"/>
        <w:contextualSpacing w:val="false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 xml:space="preserve">7. Obowiązek podania danych osobowych </w:t>
      </w:r>
    </w:p>
    <w:p>
      <w:pPr>
        <w:pStyle w:val="Normal"/>
        <w:widowControl w:val="false"/>
        <w:suppressAutoHyphens w:val="true"/>
        <w:bidi w:val="0"/>
        <w:spacing w:lineRule="auto" w:line="276" w:before="0" w:after="120"/>
        <w:ind w:start="0" w:end="0" w:hanging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 xml:space="preserve">Podanie przez Państwa danych osobowych w zakresie wynikającym z przepisów prawa oraz założeń Projektu i jest obowiązkowe, a brak ich podania skutkował będzie brakiem możliwości udziału w Projekcie. Podanie danych osobowych szczególnej kategorii, o której mowa w art. 9 RODO (np. stan zdrowia) jest nieobowiązkowe, mają Państwo możliwość odmowy ich podania, co jednak spowodować może zmniejszenie ilości przyznanych Państwu punktów w procesie rekrutacji. </w:t>
      </w:r>
    </w:p>
    <w:p>
      <w:pPr>
        <w:pStyle w:val="ListParagraph"/>
        <w:numPr>
          <w:ilvl w:val="0"/>
          <w:numId w:val="0"/>
        </w:numPr>
        <w:suppressAutoHyphens w:val="true"/>
        <w:bidi w:val="0"/>
        <w:spacing w:lineRule="auto" w:line="276" w:before="0" w:after="120"/>
        <w:ind w:start="0" w:hanging="0"/>
        <w:contextualSpacing w:val="false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8. Czy przysługuje Państwu prawo do niepodlegania decyzji opartej wyłącznie                         na zautomatyzowanym przetwarzaniu, w tym profilowaniu?</w:t>
      </w:r>
    </w:p>
    <w:p>
      <w:pPr>
        <w:pStyle w:val="Normal"/>
        <w:widowControl w:val="false"/>
        <w:suppressAutoHyphens w:val="true"/>
        <w:bidi w:val="0"/>
        <w:spacing w:lineRule="auto" w:line="276" w:before="0" w:after="120"/>
        <w:ind w:start="57" w:end="0" w:hanging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W</w:t>
      </w: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 xml:space="preserve"> </w:t>
      </w:r>
      <w:r>
        <w:rPr>
          <w:rFonts w:eastAsia="Times New Roman" w:cs="Times New Roman" w:ascii="Arial" w:hAnsi="Arial"/>
          <w:sz w:val="24"/>
          <w:szCs w:val="24"/>
          <w:lang w:eastAsia="pl-PL"/>
        </w:rPr>
        <w:t>odniesieniu do Państwa danych osobowych decyzje nie są i nie będą podejmowane</w:t>
        <w:br/>
        <w:t>w sposób zautomatyzowany, w tym również w formie profilowania.</w:t>
      </w:r>
    </w:p>
    <w:p>
      <w:pPr>
        <w:pStyle w:val="Normal"/>
        <w:suppressAutoHyphens w:val="true"/>
        <w:bidi w:val="0"/>
        <w:spacing w:lineRule="auto" w:line="276" w:before="0" w:after="120"/>
        <w:ind w:hanging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b/>
          <w:bCs/>
          <w:sz w:val="24"/>
          <w:szCs w:val="24"/>
          <w:lang w:eastAsia="pl-PL"/>
        </w:rPr>
        <w:t>9. Czy dane będą przekazywanie poza granice UE?</w:t>
      </w:r>
    </w:p>
    <w:p>
      <w:pPr>
        <w:pStyle w:val="Normal"/>
        <w:widowControl w:val="false"/>
        <w:suppressAutoHyphens w:val="true"/>
        <w:bidi w:val="0"/>
        <w:spacing w:before="0" w:after="0"/>
        <w:ind w:start="57" w:end="0" w:hanging="0"/>
        <w:jc w:val="both"/>
        <w:rPr>
          <w:rFonts w:ascii="Arial" w:hAnsi="Arial"/>
          <w:sz w:val="24"/>
          <w:szCs w:val="24"/>
        </w:rPr>
      </w:pPr>
      <w:r>
        <w:rPr>
          <w:rFonts w:eastAsia="Times New Roman" w:cs="Times New Roman" w:ascii="Arial" w:hAnsi="Arial"/>
          <w:sz w:val="24"/>
          <w:szCs w:val="24"/>
          <w:lang w:eastAsia="pl-PL"/>
        </w:rPr>
        <w:t>Państwa dane osobowe nie będą przekazywane poza Europejski Obszar Gospodarczy (obejmujący Unię Europejską, Norwegię, Liechtenstein i Islandię).</w:t>
      </w:r>
    </w:p>
    <w:p>
      <w:pPr>
        <w:pStyle w:val="Normal"/>
        <w:bidi w:val="0"/>
        <w:ind w:start="36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spacing w:before="360" w:after="160"/>
        <w:jc w:val="start"/>
        <w:rPr>
          <w:rFonts w:ascii="Arial" w:hAnsi="Arial"/>
          <w:sz w:val="24"/>
          <w:szCs w:val="24"/>
        </w:rPr>
      </w:pPr>
      <w:r>
        <w:rPr>
          <w:rFonts w:eastAsia="Times New Roman" w:cs="Calibri" w:ascii="Arial" w:hAnsi="Arial"/>
          <w:sz w:val="24"/>
          <w:szCs w:val="24"/>
          <w:lang w:eastAsia="zh-CN"/>
        </w:rPr>
        <w:t xml:space="preserve">Chełm, ………………………...…r. </w:t>
        <w:tab/>
        <w:t xml:space="preserve">  ……………………………………………………….</w:t>
      </w:r>
    </w:p>
    <w:p>
      <w:pPr>
        <w:pStyle w:val="Normal"/>
        <w:bidi w:val="0"/>
        <w:spacing w:before="360" w:after="160"/>
        <w:jc w:val="start"/>
        <w:rPr>
          <w:rFonts w:ascii="Arial" w:hAnsi="Arial"/>
          <w:sz w:val="24"/>
          <w:szCs w:val="24"/>
        </w:rPr>
      </w:pPr>
      <w:r>
        <w:rPr>
          <w:rFonts w:eastAsia="Times New Roman" w:cs="Calibri" w:ascii="Arial" w:hAnsi="Arial"/>
          <w:b/>
          <w:bCs/>
          <w:kern w:val="2"/>
          <w:sz w:val="24"/>
          <w:szCs w:val="24"/>
          <w:lang w:eastAsia="zh-CN"/>
          <w14:ligatures w14:val="standardContextual"/>
        </w:rPr>
        <w:t xml:space="preserve"> </w:t>
      </w:r>
      <w:r>
        <w:rPr>
          <w:rFonts w:eastAsia="Times New Roman" w:cs="Calibri" w:ascii="Arial" w:hAnsi="Arial"/>
          <w:b w:val="false"/>
          <w:bCs w:val="false"/>
          <w:kern w:val="2"/>
          <w:sz w:val="24"/>
          <w:szCs w:val="24"/>
          <w:lang w:eastAsia="zh-CN"/>
          <w14:ligatures w14:val="standardContextual"/>
        </w:rPr>
        <w:t xml:space="preserve">  </w:t>
      </w:r>
      <w:r>
        <w:rPr>
          <w:rFonts w:eastAsia="Times New Roman" w:cs="Calibri" w:ascii="Arial" w:hAnsi="Arial"/>
          <w:b w:val="false"/>
          <w:bCs w:val="false"/>
          <w:kern w:val="2"/>
          <w:sz w:val="24"/>
          <w:szCs w:val="24"/>
          <w:lang w:eastAsia="zh-CN"/>
          <w14:ligatures w14:val="standardContextual"/>
        </w:rPr>
        <w:t>Miejscowość, data</w:t>
        <w:tab/>
        <w:tab/>
        <w:t xml:space="preserve">                      </w:t>
      </w:r>
      <w:r>
        <w:rPr>
          <w:rFonts w:eastAsia="Liberation Serif" w:cs="" w:ascii="Arial" w:hAnsi="Arial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>Czytelny podpis uczestnika Projektu</w:t>
      </w:r>
    </w:p>
    <w:sectPr>
      <w:headerReference w:type="even" r:id="rId4"/>
      <w:headerReference w:type="default" r:id="rId5"/>
      <w:footnotePr>
        <w:numFmt w:val="decimal"/>
      </w:footnotePr>
      <w:type w:val="nextPage"/>
      <w:pgSz w:w="11906" w:h="16838"/>
      <w:pgMar w:left="1134" w:right="1134" w:gutter="0" w:header="1134" w:top="2509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erif">
    <w:altName w:val="Times New Roman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ListParagraph"/>
        <w:widowControl w:val="false"/>
        <w:suppressAutoHyphens w:val="true"/>
        <w:bidi w:val="0"/>
        <w:ind w:start="720" w:end="0" w:hanging="0"/>
        <w:jc w:val="both"/>
        <w:rPr>
          <w:sz w:val="20"/>
          <w:szCs w:val="20"/>
        </w:rPr>
      </w:pPr>
      <w:r>
        <w:rPr>
          <w:rStyle w:val="Znakiprzypiswdolnych"/>
        </w:rPr>
        <w:t>1</w:t>
      </w:r>
      <w:r>
        <w:rPr>
          <w:rStyle w:val="Znakiprzypiswdolnych"/>
          <w:rFonts w:cs="" w:cstheme="minorHAnsi"/>
          <w:sz w:val="20"/>
          <w:szCs w:val="20"/>
        </w:rPr>
        <w:t xml:space="preserve"> </w:t>
      </w:r>
      <w:r>
        <w:rPr>
          <w:rFonts w:cs="" w:cstheme="minorHAnsi"/>
          <w:sz w:val="20"/>
          <w:szCs w:val="20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Wizowej. </w:t>
      </w:r>
    </w:p>
    <w:p>
      <w:pPr>
        <w:pStyle w:val="ListParagraph"/>
        <w:widowControl w:val="false"/>
        <w:numPr>
          <w:ilvl w:val="0"/>
          <w:numId w:val="0"/>
        </w:numPr>
        <w:suppressAutoHyphens w:val="true"/>
        <w:bidi w:val="0"/>
        <w:spacing w:lineRule="auto" w:line="240" w:before="120" w:after="0"/>
        <w:ind w:start="510" w:end="0" w:hanging="0"/>
        <w:contextualSpacing w:val="false"/>
        <w:jc w:val="both"/>
        <w:rPr>
          <w:sz w:val="20"/>
          <w:szCs w:val="20"/>
        </w:rPr>
      </w:pP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lewa"/>
      <w:rPr/>
    </w:pPr>
    <w:r>
      <w:rPr/>
      <w:drawing>
        <wp:inline distT="0" distB="0" distL="0" distR="0">
          <wp:extent cx="6102350" cy="693420"/>
          <wp:effectExtent l="0" t="0" r="0" b="0"/>
          <wp:docPr id="1" name="Obraz6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6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02350" cy="693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  <w:drawing>
        <wp:inline distT="0" distB="0" distL="0" distR="0">
          <wp:extent cx="6102350" cy="623570"/>
          <wp:effectExtent l="0" t="0" r="0" b="0"/>
          <wp:docPr id="2" name="Obraz5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5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02350" cy="623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decimal"/>
      <w:lvlText w:val="%1)"/>
      <w:lvlJc w:val="start"/>
      <w:pPr>
        <w:tabs>
          <w:tab w:val="num" w:pos="720"/>
        </w:tabs>
        <w:ind w:start="720" w:hanging="360"/>
      </w:pPr>
      <w:rPr>
        <w:rFonts w:ascii="Arial" w:hAnsi="Arial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>
        <w:rFonts w:ascii="Arial" w:hAnsi="Arial"/>
      </w:r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>
        <w:rFonts w:ascii="Arial" w:hAnsi="Arial"/>
      </w:r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>
        <w:rFonts w:ascii="Arial" w:hAnsi="Arial"/>
      </w:r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>
        <w:rFonts w:ascii="Arial" w:hAnsi="Arial"/>
      </w:r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>
        <w:rFonts w:ascii="Arial" w:hAnsi="Arial"/>
      </w:r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>
        <w:rFonts w:ascii="Arial" w:hAnsi="Arial"/>
      </w:r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>
        <w:rFonts w:ascii="Arial" w:hAnsi="Arial"/>
      </w:r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>
        <w:rFonts w:ascii="Arial" w:hAnsi="Arial"/>
      </w:rPr>
    </w:lvl>
  </w:abstractNum>
  <w:abstractNum w:abstractNumId="4">
    <w:lvl w:ilvl="0">
      <w:start w:val="1"/>
      <w:numFmt w:val="decimal"/>
      <w:lvlText w:val="%1)"/>
      <w:lvlJc w:val="start"/>
      <w:pPr>
        <w:tabs>
          <w:tab w:val="num" w:pos="709"/>
        </w:tabs>
        <w:ind w:start="709" w:hanging="283"/>
      </w:pPr>
      <w:rPr>
        <w:rFonts w:ascii="Arial" w:hAnsi="Arial"/>
      </w:rPr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5">
    <w:lvl w:ilvl="0">
      <w:start w:val="1"/>
      <w:numFmt w:val="decimal"/>
      <w:lvlText w:val="%1)"/>
      <w:lvlJc w:val="start"/>
      <w:pPr>
        <w:tabs>
          <w:tab w:val="num" w:pos="709"/>
        </w:tabs>
        <w:ind w:start="709" w:hanging="283"/>
      </w:pPr>
      <w:rPr>
        <w:rFonts w:ascii="Arial" w:hAnsi="Arial"/>
      </w:rPr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6">
    <w:lvl w:ilvl="0">
      <w:start w:val="1"/>
      <w:numFmt w:val="decimal"/>
      <w:lvlText w:val="%1)"/>
      <w:lvlJc w:val="start"/>
      <w:pPr>
        <w:tabs>
          <w:tab w:val="num" w:pos="709"/>
        </w:tabs>
        <w:ind w:start="709" w:hanging="283"/>
      </w:pPr>
      <w:rPr>
        <w:rFonts w:ascii="Arial" w:hAnsi="Arial"/>
      </w:rPr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7">
    <w:lvl w:ilvl="0">
      <w:start w:val="1"/>
      <w:numFmt w:val="decimal"/>
      <w:lvlText w:val="%1)"/>
      <w:lvlJc w:val="start"/>
      <w:pPr>
        <w:tabs>
          <w:tab w:val="num" w:pos="709"/>
        </w:tabs>
        <w:ind w:start="709" w:hanging="283"/>
      </w:pPr>
      <w:rPr>
        <w:rFonts w:ascii="Arial" w:hAnsi="Arial"/>
      </w:rPr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4"/>
    <w:lvlOverride w:ilvl="0">
      <w:startOverride w:val="1"/>
    </w:lvlOverride>
  </w:num>
  <w:num w:numId="10">
    <w:abstractNumId w:val="4"/>
  </w:num>
  <w:num w:numId="11">
    <w:abstractNumId w:val="4"/>
  </w:num>
  <w:num w:numId="12">
    <w:abstractNumId w:val="4"/>
  </w:num>
</w:numbering>
</file>

<file path=word/settings.xml><?xml version="1.0" encoding="utf-8"?>
<w:settings xmlns:w="http://schemas.openxmlformats.org/wordprocessingml/2006/main">
  <w:zoom w:percent="95"/>
  <w:defaultTabStop w:val="709"/>
  <w:autoHyphenation w:val="true"/>
  <w:evenAndOddHeaders/>
  <w:footnotePr>
    <w:numFmt w:val="decimal"/>
    <w:footnote w:id="0"/>
    <w:footnote w:id="1"/>
  </w:footnotePr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2">
    <w:name w:val="Heading 2"/>
    <w:basedOn w:val="Nagwek"/>
    <w:next w:val="Tretekstu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character" w:styleId="DefaultParagraphFont">
    <w:name w:val="Default Paragraph Font"/>
    <w:qFormat/>
    <w:rPr/>
  </w:style>
  <w:style w:type="character" w:styleId="Odwiedzoneczeinternetowe">
    <w:name w:val="Odwiedzone łącze internetowe"/>
    <w:basedOn w:val="DefaultParagraphFont"/>
    <w:rPr>
      <w:color w:val="954F72" w:themeColor="followedHyperlink"/>
      <w:u w:val="single"/>
    </w:rPr>
  </w:style>
  <w:style w:type="character" w:styleId="Znakiprzypiswdolnych">
    <w:name w:val="Znaki przypisów dolnych"/>
    <w:qFormat/>
    <w:rPr/>
  </w:style>
  <w:style w:type="character" w:styleId="Zakotwiczenieprzypisudolnego">
    <w:name w:val="Zakotwiczenie przypisu dolnego"/>
    <w:rPr>
      <w:vertAlign w:val="superscript"/>
    </w:rPr>
  </w:style>
  <w:style w:type="character" w:styleId="Zakotwiczenieprzypisukocowego">
    <w:name w:val="Zakotwiczenie przypisu końcowego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andard">
    <w:name w:val="Standard"/>
    <w:qFormat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ListParagraph">
    <w:name w:val="List Paragraph"/>
    <w:basedOn w:val="Normal"/>
    <w:qFormat/>
    <w:pPr>
      <w:spacing w:before="0" w:after="160"/>
      <w:ind w:start="720" w:hanging="0"/>
      <w:contextualSpacing/>
    </w:pPr>
    <w:rPr/>
  </w:style>
  <w:style w:type="paragraph" w:styleId="Przypisdolny">
    <w:name w:val="Footnote Text"/>
    <w:basedOn w:val="Normal"/>
    <w:pPr>
      <w:suppressLineNumbers/>
      <w:ind w:start="340" w:hanging="340"/>
    </w:pPr>
    <w:rPr>
      <w:sz w:val="20"/>
      <w:szCs w:val="20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Gwkalewa">
    <w:name w:val="Główka lewa"/>
    <w:basedOn w:val="Gwka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about:blank" TargetMode="External"/><Relationship Id="rId3" Type="http://schemas.openxmlformats.org/officeDocument/2006/relationships/hyperlink" Target="about:blank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LibreOffice/7.3.3.2$Windows_X86_64 LibreOffice_project/d1d0ea68f081ee2800a922cac8f79445e4603348</Application>
  <AppVersion>15.0000</AppVersion>
  <Pages>3</Pages>
  <Words>853</Words>
  <Characters>5729</Characters>
  <CharactersWithSpaces>6714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2025-07-17T10:52:48Z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