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Gmina Olszanka </w:t>
        <w:tab/>
        <w:tab/>
        <w:tab/>
        <w:tab/>
        <w:tab/>
        <w:tab/>
        <w:tab/>
        <w:t>Olszanka, 2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.04.2023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Olszanka 16</w:t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SSO.3153.3.7.2023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(Dz. U. 2022 roku poz. 2082 z póź. zm.), 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2023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1 347,44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2023 rok, o której mowa w art. 12 ust. 2 ustawy  wynosi   </w:t>
      </w:r>
      <w:r>
        <w:rPr>
          <w:rFonts w:cs="Times New Roman" w:ascii="Times New Roman" w:hAnsi="Times New Roman"/>
          <w:b/>
          <w:bCs/>
          <w:sz w:val="24"/>
          <w:szCs w:val="24"/>
        </w:rPr>
        <w:t>1 521,86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141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1,359.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>Wójt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>/-/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LibreOffice/7.0.1.2$Windows_X86_64 LibreOffice_project/7cbcfc562f6eb6708b5ff7d7397325de9e764452</Application>
  <Pages>1</Pages>
  <Words>143</Words>
  <Characters>759</Characters>
  <CharactersWithSpaces>1030</CharactersWithSpaces>
  <Paragraphs>15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2023-04-28T08:04:38Z</cp:lastPrinted>
  <dcterms:modified xsi:type="dcterms:W3CDTF">2023-04-28T08:05:04Z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