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300" w:rsidRPr="00AF5300" w:rsidRDefault="00C60281" w:rsidP="00AF5300">
      <w:pPr>
        <w:spacing w:line="300" w:lineRule="atLeast"/>
        <w:rPr>
          <w:rFonts w:ascii="Times New Roman" w:eastAsia="Times New Roman" w:hAnsi="Times New Roman" w:cs="Times New Roman"/>
          <w:b/>
          <w:lang w:eastAsia="ar-SA"/>
        </w:rPr>
      </w:pP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="006411B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SZCZEGÓŁOWA SPECYFIKACJA TECHNICZNA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A91EBD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</w:t>
      </w:r>
      <w:r w:rsidR="003D05E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1/B.0</w:t>
      </w:r>
      <w:r w:rsidR="00357F6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357F60">
        <w:rPr>
          <w:rFonts w:ascii="Times New Roman" w:eastAsia="Times New Roman" w:hAnsi="Times New Roman" w:cs="Times New Roman"/>
          <w:b/>
          <w:lang w:eastAsia="pl-PL"/>
        </w:rPr>
        <w:t>KONTENERY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CPV -45261100-5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 Wstęp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  <w:t>1.1. Przedmiot SST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Przedmiotem niniejszej szczegółowej specyfikacji technicznej są wymagania dotyczące wykonania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 xml:space="preserve">i odbioru montażu konstrukcji </w:t>
      </w:r>
      <w:r w:rsidR="00357F60">
        <w:rPr>
          <w:rFonts w:ascii="Times New Roman" w:eastAsia="Times New Roman" w:hAnsi="Times New Roman" w:cs="Times New Roman"/>
          <w:lang w:eastAsia="pl-PL"/>
        </w:rPr>
        <w:t>kontenerów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( ściany , podłogi ,dachy ) modułowego systemu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 xml:space="preserve">zaplecza boisk sportowych Orlik 2012.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1.2. Zakres stosowania SST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Szczegółowa specyfikacja techniczna jest stosowana jako dokument przetargowy i kontraktowy przy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zlecaniu i realizacji robót wymienionych w pkt. 1.1.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1.3. Zakres robót wymienionych w SST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Roboty których dotyczy specyfikacja obejmują wszystkie czynności umożliwiające i mające na celu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A91EBD">
        <w:rPr>
          <w:rFonts w:ascii="Times New Roman" w:eastAsia="Times New Roman" w:hAnsi="Times New Roman" w:cs="Times New Roman"/>
          <w:lang w:eastAsia="pl-PL"/>
        </w:rPr>
        <w:t>wymianę</w:t>
      </w:r>
      <w:r w:rsidR="00357F60">
        <w:rPr>
          <w:rFonts w:ascii="Times New Roman" w:eastAsia="Times New Roman" w:hAnsi="Times New Roman" w:cs="Times New Roman"/>
          <w:lang w:eastAsia="pl-PL"/>
        </w:rPr>
        <w:t xml:space="preserve"> kontenerów</w:t>
      </w:r>
      <w:r w:rsidR="00A91EBD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występujących w obiekcie</w:t>
      </w:r>
      <w:r w:rsidR="00A91EBD">
        <w:rPr>
          <w:rFonts w:ascii="Times New Roman" w:eastAsia="Times New Roman" w:hAnsi="Times New Roman" w:cs="Times New Roman"/>
          <w:lang w:eastAsia="pl-PL"/>
        </w:rPr>
        <w:t>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357F60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 zakres tych robót </w:t>
      </w:r>
      <w:r w:rsidR="00AF5300">
        <w:rPr>
          <w:rFonts w:ascii="Times New Roman" w:eastAsia="Times New Roman" w:hAnsi="Times New Roman" w:cs="Times New Roman"/>
          <w:b/>
          <w:u w:val="single"/>
          <w:lang w:eastAsia="pl-PL"/>
        </w:rPr>
        <w:t>wchodzi:</w:t>
      </w:r>
      <w:r w:rsidR="00127436" w:rsidRPr="00357F60">
        <w:rPr>
          <w:rFonts w:ascii="Times New Roman" w:eastAsia="Times New Roman" w:hAnsi="Times New Roman" w:cs="Times New Roman"/>
          <w:b/>
          <w:u w:val="single"/>
          <w:lang w:eastAsia="pl-PL"/>
        </w:rPr>
        <w:br/>
      </w:r>
      <w:r w:rsidR="00AF5300" w:rsidRPr="00AF530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kompletna wymiana kontenera szatniowego w elementach, wyposażonego w standardzie </w:t>
      </w:r>
      <w:proofErr w:type="spellStart"/>
      <w:r w:rsidR="00AF5300" w:rsidRPr="00AF5300">
        <w:rPr>
          <w:rFonts w:ascii="Times New Roman" w:eastAsia="Times New Roman" w:hAnsi="Times New Roman" w:cs="Times New Roman"/>
          <w:b/>
          <w:u w:val="single"/>
          <w:lang w:eastAsia="ar-SA"/>
        </w:rPr>
        <w:t>tzw</w:t>
      </w:r>
      <w:proofErr w:type="spellEnd"/>
      <w:r w:rsidR="00AF5300" w:rsidRPr="00AF530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.”pod klucz”, </w:t>
      </w:r>
    </w:p>
    <w:p w:rsidR="00F31EB3" w:rsidRPr="0079146D" w:rsidRDefault="00127436" w:rsidP="00AF5300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BD">
        <w:rPr>
          <w:rFonts w:ascii="Times New Roman" w:eastAsia="Times New Roman" w:hAnsi="Times New Roman" w:cs="Times New Roman"/>
          <w:b/>
          <w:lang w:eastAsia="pl-PL"/>
        </w:rPr>
        <w:t>1.4. Określenia podstawowe</w:t>
      </w:r>
      <w:r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Określenia podane w niniejszej SST są zgodne z obowiązującymi odpowiednimi normami i wy-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tycznymi.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A91EBD">
        <w:rPr>
          <w:rFonts w:ascii="Times New Roman" w:eastAsia="Times New Roman" w:hAnsi="Times New Roman" w:cs="Times New Roman"/>
          <w:b/>
          <w:lang w:eastAsia="pl-PL"/>
        </w:rPr>
        <w:t>1.5. Ogólne wymagania dotyczące robót</w:t>
      </w:r>
      <w:r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Wykonawca robót jest odpowiedzialny za jakość wykonania robót, ich zgodność z</w:t>
      </w:r>
      <w:r w:rsidR="008228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 SST i poleceniami Inspektora.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79146D">
        <w:rPr>
          <w:rFonts w:ascii="Times New Roman" w:eastAsia="Times New Roman" w:hAnsi="Times New Roman" w:cs="Times New Roman"/>
          <w:b/>
          <w:lang w:eastAsia="pl-PL"/>
        </w:rPr>
        <w:t>2. Materiały</w:t>
      </w:r>
      <w:r w:rsidRPr="0079146D">
        <w:rPr>
          <w:rFonts w:ascii="Times New Roman" w:eastAsia="Times New Roman" w:hAnsi="Times New Roman" w:cs="Times New Roman"/>
          <w:b/>
          <w:lang w:eastAsia="pl-PL"/>
        </w:rPr>
        <w:br/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wewnętrzna pomieszczeń: 2500 mm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konstrukcja: stalowa spawana, wykonana z kształtowników zimno giętych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o gr. min. 3 i 4 mm, zabezpieczona antykorozyjnie podkładem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systemowym oraz nawierzchniowo malowana standardowym zestawem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epoksydowo-malarskim w kolorze nawierzchniowym ciemny szary (RAL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7024), odprowadzenie wody poprzez 4 rynny spustowe umieszczone w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słupach zewnętrznych każdego kontenera,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podłoga: od zewnątrz blacha trapezowa ocynkowana, T6 o grubości 0,5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mm, ocynkowana obustronnie, ocieplenie wełną mineralną ISOVER o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grubości 150 mm, od wewnątrz płyta OSB wodoodporna, o grubości 22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mm, wykładzina podłogowa TARKETT Rekord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dach: od zewnątrz blacha trapezowa T35 o grubości 0,7 mm, ocynkowana,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powlekana, od wewnątrz ocieplenie wełną mineralną gr. 100 mm.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Wewnętrzne wykończenie stanowi płyta warstwowa z rdzeniem ze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styropianu o gr. 75 mm, łączna grubość ocieplenia dachu 175 mm,</w:t>
      </w:r>
    </w:p>
    <w:p w:rsidR="00756F4F" w:rsidRPr="00D2527C" w:rsidRDefault="00F31EB3" w:rsidP="00756F4F">
      <w:pPr>
        <w:rPr>
          <w:rFonts w:ascii="Times New Roman" w:eastAsia="Times New Roman" w:hAnsi="Times New Roman" w:cs="Times New Roman"/>
          <w:u w:val="single"/>
          <w:lang w:eastAsia="pl-PL"/>
        </w:rPr>
      </w:pP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• ściany zewnętrzne: wykonane z płyty warstwowej z rdzeniem ze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styropianu, o gr. rdzenia 100 mm, blacha ocynkowana, powlekana w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kolorze zewnętrznym ciemny szary (RAL 7024), od zewnątrz wykończenie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mikrotrapez</w:t>
      </w:r>
      <w:proofErr w:type="spellEnd"/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, od wewnątrz blacha stalowa lakierowana, kolor biały, gładka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drzwi zewnętrzne: stalowe, </w:t>
      </w:r>
      <w:r w:rsid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HORMANN, o wym. szer. 900 x wys. 2000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mm, kolor jasno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szary, wkładka patentowa, 3 klucze, w ilości 6 sztuk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drzwi wewnętrzne: stalowe, </w:t>
      </w:r>
      <w:r w:rsid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HORMANN o wym. 900 x2000 mm oraz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800x2000 mm w ilości w ilości łącznej 10 sztuk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okno PCV: w kolorze zewnętrznym zbliżonym do elewacji, wewnętrznie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białe, o wym. dł. ok. 120 mm, wysokość 600 mm, typu uchylnego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montowane na ścianie na wysokości ok. 30 cm od sufitu w ilości </w:t>
      </w:r>
      <w:r w:rsidR="009E34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</w:t>
      </w:r>
      <w:proofErr w:type="spellStart"/>
      <w:r w:rsidR="009E346C">
        <w:rPr>
          <w:rFonts w:ascii="Times New Roman" w:eastAsia="Times New Roman" w:hAnsi="Times New Roman" w:cs="Times New Roman"/>
          <w:sz w:val="24"/>
          <w:szCs w:val="24"/>
          <w:lang w:eastAsia="pl-PL"/>
        </w:rPr>
        <w:t>szt</w:t>
      </w:r>
      <w:proofErr w:type="spellEnd"/>
      <w:r w:rsidR="009E34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szkle mlecznym oraz 1 </w:t>
      </w:r>
      <w:proofErr w:type="spellStart"/>
      <w:r w:rsidR="009E346C">
        <w:rPr>
          <w:rFonts w:ascii="Times New Roman" w:eastAsia="Times New Roman" w:hAnsi="Times New Roman" w:cs="Times New Roman"/>
          <w:sz w:val="24"/>
          <w:szCs w:val="24"/>
          <w:lang w:eastAsia="pl-PL"/>
        </w:rPr>
        <w:t>szt</w:t>
      </w:r>
      <w:proofErr w:type="spellEnd"/>
      <w:r w:rsidR="009E34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szkło przeźroczyste.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rozdzielnia elektryczna: rozdzielnia elektryczna, zabezpieczenie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nadprądowe,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gniazda elektryczne: instalacja natynkowa, gniazda wtykowe podwójne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łącznej jak na rysunku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przyłącze elektryczne zewnętrzne: podejście do rozdzielni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oświetlenie: oprawy rastrowe LED, </w:t>
      </w:r>
      <w:proofErr w:type="spellStart"/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ew</w:t>
      </w:r>
      <w:proofErr w:type="spellEnd"/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pomieszczeniach sanitarnych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lampy hermetyczne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ogrzewanie elektryczne: grzejniki elektryczne </w:t>
      </w:r>
      <w:r w:rsid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ATLANTIC lub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THERMOVAL o mocy 1,5 kW / w ilości 6 sztuk oraz o mocy 500W w ilości 1sztuki,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wyposażenie sanitarne: WC kompakt klasy CERSANIT lub KOŁO w ilości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 sztuk, kabiny prysznicowe z laminatu w ilości 2 sztuk, umywalki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ceramiczne w ilości 8 sztuk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wentylacja: grawitacyjna, kratki wentylacyjne, w pomieszczeniach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sanitarnych wentylacja mechaniczna, wentylatory uruchamiane ze światłem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72684" w:rsidRPr="0049620D">
        <w:rPr>
          <w:rFonts w:ascii="Times New Roman" w:eastAsia="Times New Roman" w:hAnsi="Times New Roman" w:cs="Times New Roman"/>
          <w:color w:val="000000"/>
        </w:rPr>
        <w:t> </w:t>
      </w:r>
      <w:r w:rsidR="00127436" w:rsidRPr="0049620D">
        <w:rPr>
          <w:rFonts w:ascii="Times New Roman" w:eastAsia="Times New Roman" w:hAnsi="Times New Roman" w:cs="Times New Roman"/>
          <w:b/>
          <w:lang w:eastAsia="pl-PL"/>
        </w:rPr>
        <w:t>2.</w:t>
      </w:r>
      <w:r w:rsidR="0091619B">
        <w:rPr>
          <w:rFonts w:ascii="Times New Roman" w:eastAsia="Times New Roman" w:hAnsi="Times New Roman" w:cs="Times New Roman"/>
          <w:b/>
          <w:lang w:eastAsia="pl-PL"/>
        </w:rPr>
        <w:t>1</w:t>
      </w:r>
      <w:r w:rsidR="00127436" w:rsidRPr="0049620D">
        <w:rPr>
          <w:rFonts w:ascii="Times New Roman" w:eastAsia="Times New Roman" w:hAnsi="Times New Roman" w:cs="Times New Roman"/>
          <w:b/>
          <w:lang w:eastAsia="pl-PL"/>
        </w:rPr>
        <w:t>. Badania na budowie</w:t>
      </w:r>
      <w:r w:rsidR="00127436" w:rsidRPr="0049620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49620D">
        <w:rPr>
          <w:rFonts w:ascii="Times New Roman" w:eastAsia="Times New Roman" w:hAnsi="Times New Roman" w:cs="Times New Roman"/>
          <w:lang w:eastAsia="pl-PL"/>
        </w:rPr>
        <w:t>Każda partia materiału dostarczona na budowę przed jej wbudowaniem musi uzyskać akceptację</w:t>
      </w:r>
      <w:r w:rsidR="00127436" w:rsidRPr="0049620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Inspektora nadzoru.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3. Sprzęt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Do transportu i montażu konstrukcji należy używać dowolnego sprzętu.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– sprzęt pomocniczy powinien być przechowywany w zamykanych pomieszczeniach.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– stanowisko robocze powinno być urządzone zgodnie z przepisami bhp i przeciwpożarowymi,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zabezpieczone od wpływów atmosferycznych, oświetlone z dostateczną wentylacją.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4. Transport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4.1. Materiały i elementy mogą być przewożone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dowolnymi środkami transportu.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Podczas transportu materiały i elementy konstrukcji powinny być zabezpieczone przed uszkodzeniami lub utratą stateczności.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Sposób składowania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4.2. Składowanie materiałów i konstrukcji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  <w:t xml:space="preserve">4.2.1. Materiały i elementy 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powinny być składowane na poziomym podłożu utwardzonym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lub odizolowanym od elementów warstwą folii.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Elementy powinny być składowane w pozycji poziomej na podkładkach rozmieszczonych w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taki sposób aby nie powodować ich deformacji. Odległość składowanych elementów od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podłoża nie powinna być mniejsza od 20 cm.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5. Wykonanie robót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  <w:t>5.1. Roboty należy prowadzić zgodnie z</w:t>
      </w:r>
      <w:r w:rsidR="00735059">
        <w:rPr>
          <w:rFonts w:ascii="Times New Roman" w:eastAsia="Times New Roman" w:hAnsi="Times New Roman" w:cs="Times New Roman"/>
          <w:b/>
          <w:lang w:eastAsia="pl-PL"/>
        </w:rPr>
        <w:t xml:space="preserve"> Umową wraz z załącznikami</w:t>
      </w:r>
      <w:bookmarkStart w:id="0" w:name="_GoBack"/>
      <w:bookmarkEnd w:id="0"/>
      <w:r w:rsidR="005908D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przy udziale środków, które zapewnią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osiągnięcie projektowanej wytrzymałości, układu geometrycznego i wymiaró</w:t>
      </w:r>
      <w:r w:rsidR="005908DC">
        <w:rPr>
          <w:rFonts w:ascii="Times New Roman" w:eastAsia="Times New Roman" w:hAnsi="Times New Roman" w:cs="Times New Roman"/>
          <w:lang w:eastAsia="pl-PL"/>
        </w:rPr>
        <w:t>w konstrukcji, zgodnego z Projektem Architektoniczno- Budowlanym  Boisk Sportowych Orlik 2012.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756F4F" w:rsidRPr="00D2527C">
        <w:rPr>
          <w:rFonts w:ascii="Times New Roman" w:eastAsia="Times New Roman" w:hAnsi="Times New Roman" w:cs="Times New Roman"/>
          <w:u w:val="single"/>
          <w:lang w:eastAsia="pl-PL"/>
        </w:rPr>
        <w:t>Wywóz i utylizacja  odpadów</w:t>
      </w:r>
    </w:p>
    <w:p w:rsidR="00756F4F" w:rsidRDefault="00756F4F" w:rsidP="00756F4F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Odpady należy wywieźć i utylizować w sposób i w miejscu zgodnym z wymogami prawa.</w:t>
      </w:r>
    </w:p>
    <w:p w:rsidR="00756F4F" w:rsidRDefault="00756F4F" w:rsidP="00756F4F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Materiały, które są możliwe do ponownego wykorzystania, wszystkie elementy kontenera, są własnością Zamawiającego. Należy je wywieźć w miejsce wskazane przez Zamawiającego, położonego na terenie Gminy Wiśniew.</w:t>
      </w:r>
    </w:p>
    <w:p w:rsidR="00FB23AC" w:rsidRDefault="00127436" w:rsidP="0091619B">
      <w:pPr>
        <w:rPr>
          <w:rFonts w:ascii="Times New Roman" w:eastAsia="Times New Roman" w:hAnsi="Times New Roman" w:cs="Times New Roman"/>
          <w:lang w:eastAsia="pl-PL"/>
        </w:rPr>
      </w:pPr>
      <w:r w:rsidRPr="00555105">
        <w:rPr>
          <w:rFonts w:ascii="Times New Roman" w:eastAsia="Times New Roman" w:hAnsi="Times New Roman" w:cs="Times New Roman"/>
          <w:b/>
          <w:lang w:eastAsia="pl-PL"/>
        </w:rPr>
        <w:lastRenderedPageBreak/>
        <w:t>5.2. Montaż elementów i wymagania</w:t>
      </w:r>
      <w:r w:rsidRPr="00555105">
        <w:rPr>
          <w:rFonts w:ascii="Times New Roman" w:eastAsia="Times New Roman" w:hAnsi="Times New Roman" w:cs="Times New Roman"/>
          <w:b/>
          <w:lang w:eastAsia="pl-PL"/>
        </w:rPr>
        <w:br/>
        <w:t>5.2.1. Przekroje i rozmieszczenie elementów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 powinno być zgodne z 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aktualnymi przepisami </w:t>
      </w:r>
      <w:r w:rsidRPr="00A91EBD">
        <w:rPr>
          <w:rFonts w:ascii="Times New Roman" w:eastAsia="Times New Roman" w:hAnsi="Times New Roman" w:cs="Times New Roman"/>
          <w:lang w:eastAsia="pl-PL"/>
        </w:rPr>
        <w:t>techniczn</w:t>
      </w:r>
      <w:r w:rsidR="00555105">
        <w:rPr>
          <w:rFonts w:ascii="Times New Roman" w:eastAsia="Times New Roman" w:hAnsi="Times New Roman" w:cs="Times New Roman"/>
          <w:lang w:eastAsia="pl-PL"/>
        </w:rPr>
        <w:t>ymi.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AD69E1">
        <w:rPr>
          <w:rFonts w:ascii="Times New Roman" w:eastAsia="Times New Roman" w:hAnsi="Times New Roman" w:cs="Times New Roman"/>
          <w:b/>
          <w:lang w:eastAsia="pl-PL"/>
        </w:rPr>
        <w:t>6. Kontrola jakości robót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="00F50E7E">
        <w:rPr>
          <w:rFonts w:ascii="Times New Roman" w:eastAsia="Times New Roman" w:hAnsi="Times New Roman" w:cs="Times New Roman"/>
          <w:lang w:eastAsia="pl-PL"/>
        </w:rPr>
        <w:t xml:space="preserve">    Roboty musza być wykonane zgodnie z aktualnymi wymaganiami przepisów prawa.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AD69E1">
        <w:rPr>
          <w:rFonts w:ascii="Times New Roman" w:eastAsia="Times New Roman" w:hAnsi="Times New Roman" w:cs="Times New Roman"/>
          <w:b/>
          <w:lang w:eastAsia="pl-PL"/>
        </w:rPr>
        <w:t>7. Odbiór robót</w:t>
      </w:r>
      <w:r w:rsidRPr="00AD69E1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Wszystkie roboty podlegają zasadom odbioru robót zanikających.</w:t>
      </w:r>
    </w:p>
    <w:p w:rsidR="00AD69E1" w:rsidRPr="00053500" w:rsidRDefault="00FB23AC" w:rsidP="0091619B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Nie przewiduje się odbiorów częściowych, jedynie odbiór końcowy, po wykonaniu całości robót.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t>9. Podstawa płatności</w:t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br/>
      </w:r>
      <w:r w:rsidR="00AD69E1" w:rsidRPr="00053500">
        <w:rPr>
          <w:rFonts w:ascii="Times New Roman" w:eastAsia="Times New Roman" w:hAnsi="Times New Roman" w:cs="Times New Roman"/>
          <w:lang w:eastAsia="pl-PL"/>
        </w:rPr>
        <w:t>Wg warunków umowy</w:t>
      </w:r>
    </w:p>
    <w:p w:rsidR="00127436" w:rsidRPr="00A91EBD" w:rsidRDefault="00127436" w:rsidP="001274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91EBD">
        <w:rPr>
          <w:rFonts w:ascii="Times New Roman" w:eastAsia="Times New Roman" w:hAnsi="Times New Roman" w:cs="Times New Roman"/>
          <w:lang w:eastAsia="pl-PL"/>
        </w:rPr>
        <w:br/>
      </w:r>
    </w:p>
    <w:p w:rsidR="00B95521" w:rsidRPr="00A91EBD" w:rsidRDefault="00B95521">
      <w:pPr>
        <w:rPr>
          <w:rFonts w:ascii="Times New Roman" w:hAnsi="Times New Roman" w:cs="Times New Roman"/>
        </w:rPr>
      </w:pPr>
    </w:p>
    <w:sectPr w:rsidR="00B95521" w:rsidRPr="00A91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30B43"/>
    <w:multiLevelType w:val="hybridMultilevel"/>
    <w:tmpl w:val="08142152"/>
    <w:lvl w:ilvl="0" w:tplc="8320D01A">
      <w:start w:val="4"/>
      <w:numFmt w:val="lowerLetter"/>
      <w:lvlText w:val="%1)"/>
      <w:lvlJc w:val="left"/>
      <w:pPr>
        <w:ind w:left="1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6F15499C"/>
    <w:multiLevelType w:val="hybridMultilevel"/>
    <w:tmpl w:val="EA2E773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3B"/>
    <w:rsid w:val="00127436"/>
    <w:rsid w:val="00161686"/>
    <w:rsid w:val="001C5BC6"/>
    <w:rsid w:val="002B3D64"/>
    <w:rsid w:val="00357F60"/>
    <w:rsid w:val="0039123B"/>
    <w:rsid w:val="003C4E34"/>
    <w:rsid w:val="003D05E0"/>
    <w:rsid w:val="0049620D"/>
    <w:rsid w:val="00555105"/>
    <w:rsid w:val="005908DC"/>
    <w:rsid w:val="005969EF"/>
    <w:rsid w:val="006411B6"/>
    <w:rsid w:val="00735059"/>
    <w:rsid w:val="00756F4F"/>
    <w:rsid w:val="0079146D"/>
    <w:rsid w:val="00822895"/>
    <w:rsid w:val="00843637"/>
    <w:rsid w:val="0091619B"/>
    <w:rsid w:val="00961AC3"/>
    <w:rsid w:val="009E346C"/>
    <w:rsid w:val="00A464C1"/>
    <w:rsid w:val="00A91EBD"/>
    <w:rsid w:val="00AD69E1"/>
    <w:rsid w:val="00AF5300"/>
    <w:rsid w:val="00B95521"/>
    <w:rsid w:val="00B955DC"/>
    <w:rsid w:val="00BE7D4F"/>
    <w:rsid w:val="00C60281"/>
    <w:rsid w:val="00C72684"/>
    <w:rsid w:val="00C82223"/>
    <w:rsid w:val="00D05CF7"/>
    <w:rsid w:val="00F31EB3"/>
    <w:rsid w:val="00F43FA7"/>
    <w:rsid w:val="00F50E7E"/>
    <w:rsid w:val="00FB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7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6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7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6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2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5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8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5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41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86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85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1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0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Inwestycje_PC5</dc:creator>
  <cp:lastModifiedBy>Inwestycje_PC5</cp:lastModifiedBy>
  <cp:revision>6</cp:revision>
  <cp:lastPrinted>2022-10-10T08:16:00Z</cp:lastPrinted>
  <dcterms:created xsi:type="dcterms:W3CDTF">2022-10-03T10:17:00Z</dcterms:created>
  <dcterms:modified xsi:type="dcterms:W3CDTF">2022-10-10T08:33:00Z</dcterms:modified>
</cp:coreProperties>
</file>