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Olszanka, 28.01.2021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oświatowych( tj. z 2020r poz. 2029, 2400 ), zwana dalej ustawą, Gmina Olszanka                  ogłasza,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>960,19</w:t>
      </w:r>
      <w:r>
        <w:rPr>
          <w:rFonts w:cs="Times New Roman" w:ascii="Times New Roman" w:hAnsi="Times New Roman"/>
          <w:b/>
          <w:sz w:val="24"/>
          <w:szCs w:val="24"/>
        </w:rPr>
        <w:t xml:space="preserve">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>1112,25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138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1,216.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Wójt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/-/ Aneta Rabczewska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LibreOffice/7.0.1.2$Windows_X86_64 LibreOffice_project/7cbcfc562f6eb6708b5ff7d7397325de9e764452</Application>
  <Pages>1</Pages>
  <Words>136</Words>
  <Characters>731</Characters>
  <CharactersWithSpaces>899</CharactersWithSpaces>
  <Paragraphs>11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2021-01-28T07:45:51Z</cp:lastPrinted>
  <dcterms:modified xsi:type="dcterms:W3CDTF">2021-01-28T07:51:20Z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