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82B3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052F">
        <w:rPr>
          <w:rFonts w:ascii="Arial" w:hAnsi="Arial" w:cs="Arial"/>
          <w:b/>
          <w:bCs/>
          <w:sz w:val="20"/>
          <w:szCs w:val="20"/>
        </w:rPr>
        <w:t>Zarządzenie Nr 76/2022</w:t>
      </w:r>
    </w:p>
    <w:p w14:paraId="1E89CC0B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052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76592A0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052F">
        <w:rPr>
          <w:rFonts w:ascii="Arial" w:hAnsi="Arial" w:cs="Arial"/>
          <w:b/>
          <w:bCs/>
          <w:sz w:val="20"/>
          <w:szCs w:val="20"/>
        </w:rPr>
        <w:t>z dnia   3 czerwca 2022 roku</w:t>
      </w:r>
    </w:p>
    <w:p w14:paraId="7EB6B952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F07DA5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052F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1F10EA5A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052F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66FB3624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E58ECCD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48159A0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0052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10052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0052F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10052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1583135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648F2E" w14:textId="77777777" w:rsidR="0010052F" w:rsidRPr="0010052F" w:rsidRDefault="0010052F" w:rsidP="0010052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D591C7" w14:textId="77777777" w:rsidR="0010052F" w:rsidRPr="0010052F" w:rsidRDefault="0010052F" w:rsidP="001005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b/>
          <w:bCs/>
          <w:sz w:val="24"/>
          <w:szCs w:val="24"/>
        </w:rPr>
        <w:t>§ 1.</w:t>
      </w:r>
      <w:r w:rsidRPr="0010052F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10052F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10052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F4676BA" w14:textId="77777777" w:rsidR="0010052F" w:rsidRPr="0010052F" w:rsidRDefault="0010052F" w:rsidP="0010052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10052F">
        <w:rPr>
          <w:rFonts w:ascii="Arial" w:hAnsi="Arial" w:cs="Arial"/>
          <w:color w:val="000000"/>
          <w:sz w:val="24"/>
          <w:szCs w:val="24"/>
        </w:rPr>
        <w:br/>
        <w:t>ustala się dochody budżetu w kwocie 33.695.686,60 zł, w tym:</w:t>
      </w:r>
    </w:p>
    <w:p w14:paraId="7D45AC16" w14:textId="77777777" w:rsidR="0010052F" w:rsidRPr="0010052F" w:rsidRDefault="0010052F" w:rsidP="0010052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 xml:space="preserve"> - dochody bieżące         –  26.470.186,60 zł</w:t>
      </w:r>
    </w:p>
    <w:p w14:paraId="74E7C532" w14:textId="77777777" w:rsidR="0010052F" w:rsidRPr="0010052F" w:rsidRDefault="0010052F" w:rsidP="0010052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ab/>
      </w:r>
      <w:r w:rsidRPr="0010052F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7A84FD15" w14:textId="77777777" w:rsidR="0010052F" w:rsidRPr="0010052F" w:rsidRDefault="0010052F" w:rsidP="0010052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AEDFA73" w14:textId="77777777" w:rsidR="0010052F" w:rsidRPr="0010052F" w:rsidRDefault="0010052F" w:rsidP="0010052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10052F">
        <w:rPr>
          <w:rFonts w:ascii="Arial" w:hAnsi="Arial" w:cs="Arial"/>
          <w:color w:val="000000"/>
          <w:sz w:val="24"/>
          <w:szCs w:val="24"/>
        </w:rPr>
        <w:br/>
        <w:t>ustala się wydatki budżetu w kwocie 38.626.923,82 zł, w tym:</w:t>
      </w:r>
    </w:p>
    <w:p w14:paraId="76ADF64D" w14:textId="77777777" w:rsidR="0010052F" w:rsidRPr="0010052F" w:rsidRDefault="0010052F" w:rsidP="0010052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>- wydatki bieżące            – 26.636.062,14 zł,</w:t>
      </w:r>
    </w:p>
    <w:p w14:paraId="0ACED0BA" w14:textId="77777777" w:rsidR="0010052F" w:rsidRPr="0010052F" w:rsidRDefault="0010052F" w:rsidP="0010052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color w:val="000000"/>
          <w:sz w:val="24"/>
          <w:szCs w:val="24"/>
        </w:rPr>
        <w:t>- wydatki majątkowe       –  11.990.861,68 zł.</w:t>
      </w:r>
    </w:p>
    <w:p w14:paraId="3B2A20A6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33592B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F0B0CA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BB4458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39D3B1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67ADA2E" w14:textId="77777777" w:rsidR="0010052F" w:rsidRPr="0010052F" w:rsidRDefault="0010052F" w:rsidP="001005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0052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0052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12110F59" w14:textId="77777777" w:rsidR="0010052F" w:rsidRPr="0010052F" w:rsidRDefault="0010052F" w:rsidP="00100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3868DBE" w14:textId="77777777" w:rsidR="0010052F" w:rsidRPr="0010052F" w:rsidRDefault="0010052F" w:rsidP="00100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693783D" w14:textId="77777777" w:rsidR="00874854" w:rsidRDefault="00874854"/>
    <w:sectPr w:rsidR="00874854" w:rsidSect="0095489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A4"/>
    <w:rsid w:val="0010052F"/>
    <w:rsid w:val="00773FA4"/>
    <w:rsid w:val="0087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F6552-4923-4266-A98E-0EB82B6D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0052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2022-06-03T05:03:00Z</dcterms:created>
  <dcterms:modified xsi:type="dcterms:W3CDTF">2022-06-03T05:03:00Z</dcterms:modified>
</cp:coreProperties>
</file>