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2E7B007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F28F4">
        <w:rPr>
          <w:b/>
          <w:bCs/>
          <w:color w:val="000000"/>
        </w:rPr>
        <w:t>2</w:t>
      </w:r>
      <w:r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9B2CC8">
        <w:trPr>
          <w:trHeight w:val="764"/>
        </w:trPr>
        <w:tc>
          <w:tcPr>
            <w:tcW w:w="10164" w:type="dxa"/>
          </w:tcPr>
          <w:p w14:paraId="15117781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BE926E1" w14:textId="2C4F762D" w:rsidR="006454E0" w:rsidRPr="00374508" w:rsidRDefault="00FF28F4" w:rsidP="00FF28F4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83E4C">
              <w:rPr>
                <w:b/>
                <w:sz w:val="28"/>
                <w:szCs w:val="28"/>
              </w:rPr>
              <w:t xml:space="preserve">odernizacja szczegółowej osnowy geodezyjnej wysokościowej </w:t>
            </w:r>
            <w:r>
              <w:rPr>
                <w:b/>
                <w:sz w:val="28"/>
                <w:szCs w:val="28"/>
              </w:rPr>
              <w:br/>
            </w:r>
            <w:r w:rsidRPr="00A83E4C">
              <w:rPr>
                <w:b/>
                <w:sz w:val="28"/>
                <w:szCs w:val="28"/>
              </w:rPr>
              <w:t>na obszarze powiatu ostrowieckiego.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F9C335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04F10BD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FF28F4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FF28F4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FF28F4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BE82-AA14-4A1E-8165-E2B5F9A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2021-07-14T06:13:00Z</dcterms:created>
  <dcterms:modified xsi:type="dcterms:W3CDTF">2022-02-18T12:21:00Z</dcterms:modified>
</cp:coreProperties>
</file>