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footer1.xml.rels" ContentType="application/vnd.openxmlformats-package.relationships+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120"/>
        <w:jc w:val="center"/>
        <w:rPr>
          <w:sz w:val="40"/>
          <w:szCs w:val="40"/>
        </w:rPr>
      </w:pPr>
      <w:r>
        <w:rPr>
          <w:sz w:val="40"/>
          <w:szCs w:val="40"/>
        </w:rPr>
        <w:t>DIAGNOZA LOKALNYCH POTRZEB</w:t>
      </w:r>
    </w:p>
    <w:p>
      <w:pPr>
        <w:pStyle w:val="Heading2"/>
        <w:jc w:val="center"/>
        <w:rPr/>
      </w:pPr>
      <w:r>
        <w:rPr>
          <w:sz w:val="30"/>
          <w:szCs w:val="30"/>
        </w:rPr>
        <w:t xml:space="preserve">w zakresie organizowania i realizacji wsparcia dzieci, uczniów oraz ich rodzin  </w:t>
      </w:r>
      <w:r>
        <w:rPr/>
        <w:t>Powiat Włoszczowski</w:t>
      </w:r>
    </w:p>
    <w:p>
      <w:pPr>
        <w:pStyle w:val="Liniapozioma"/>
        <w:jc w:val="center"/>
        <w:rPr/>
      </w:pPr>
      <w:r>
        <w:rPr/>
      </w:r>
    </w:p>
    <w:p>
      <w:pPr>
        <w:pStyle w:val="Heading1"/>
        <w:rPr>
          <w:sz w:val="40"/>
          <w:szCs w:val="40"/>
        </w:rPr>
      </w:pPr>
      <w:r>
        <w:rPr>
          <w:sz w:val="40"/>
          <w:szCs w:val="40"/>
        </w:rPr>
        <w:t>I. WPROWADZENIE</w:t>
      </w:r>
    </w:p>
    <w:p>
      <w:pPr>
        <w:pStyle w:val="BodyText"/>
        <w:rPr/>
      </w:pPr>
      <w:r>
        <w:rPr/>
        <w:tab/>
        <w:t>Diagnoza lokalnych potrzeb została opracowana na potrzeby planowania, organizowania i realizacji działań w ramach Wsparcia Międzysektorowego (WM) na terenie Powiatu Włoszczowskiego. Jej celem jest rozpoznanie potrzeb dzieci, uczniów oraz ich rodzin, identyfikacja dostępnych zasobów lokalnych oraz wskazanie kierunków działań służących budowaniu skutecznego systemu współpracy pomiędzy instytucjami.</w:t>
      </w:r>
    </w:p>
    <w:p>
      <w:pPr>
        <w:pStyle w:val="BodyText"/>
        <w:rPr/>
      </w:pPr>
      <w:r>
        <w:rPr/>
        <w:t>Dokument stanowi podstawę do planowania działań profilaktycznych, interwencyjnych i wspierających realizowanych przez jednostki samorządu terytorialnego, placówki oświatowe, podmioty ochrony zdrowia, jednostki pomocy społecznej oraz organizacje pozarządowe.</w:t>
      </w:r>
    </w:p>
    <w:p>
      <w:pPr>
        <w:pStyle w:val="Liniapozioma"/>
        <w:rPr/>
      </w:pPr>
      <w:r>
        <w:rPr/>
      </w:r>
    </w:p>
    <w:p>
      <w:pPr>
        <w:pStyle w:val="Heading1"/>
        <w:rPr>
          <w:sz w:val="40"/>
          <w:szCs w:val="40"/>
        </w:rPr>
      </w:pPr>
      <w:r>
        <w:rPr>
          <w:sz w:val="40"/>
          <w:szCs w:val="40"/>
        </w:rPr>
        <w:t>II. CHARAKTERYSTYKA POWIATU WŁOSZCZOWSKIEGO</w:t>
      </w:r>
    </w:p>
    <w:p>
      <w:pPr>
        <w:pStyle w:val="BodyText"/>
        <w:rPr/>
      </w:pPr>
      <w:r>
        <w:rPr/>
        <w:t>Powiat włoszczowski położony jest w zachodniej części województwa świętokrzyskiego. W jego skład wchodzi sześć gmin:</w:t>
      </w:r>
    </w:p>
    <w:p>
      <w:pPr>
        <w:pStyle w:val="BodyText"/>
        <w:numPr>
          <w:ilvl w:val="0"/>
          <w:numId w:val="1"/>
        </w:numPr>
        <w:tabs>
          <w:tab w:val="clear" w:pos="708"/>
          <w:tab w:val="left" w:pos="0" w:leader="none"/>
        </w:tabs>
        <w:ind w:hanging="283" w:left="709"/>
        <w:rPr/>
      </w:pPr>
      <w:r>
        <w:rPr/>
        <w:t>Włoszczowa,</w:t>
      </w:r>
    </w:p>
    <w:p>
      <w:pPr>
        <w:pStyle w:val="BodyText"/>
        <w:numPr>
          <w:ilvl w:val="0"/>
          <w:numId w:val="1"/>
        </w:numPr>
        <w:tabs>
          <w:tab w:val="clear" w:pos="708"/>
          <w:tab w:val="left" w:pos="0" w:leader="none"/>
        </w:tabs>
        <w:ind w:hanging="283" w:left="709"/>
        <w:rPr/>
      </w:pPr>
      <w:r>
        <w:rPr/>
        <w:t>Kluczewsko,</w:t>
      </w:r>
    </w:p>
    <w:p>
      <w:pPr>
        <w:pStyle w:val="BodyText"/>
        <w:numPr>
          <w:ilvl w:val="0"/>
          <w:numId w:val="1"/>
        </w:numPr>
        <w:tabs>
          <w:tab w:val="clear" w:pos="708"/>
          <w:tab w:val="left" w:pos="0" w:leader="none"/>
        </w:tabs>
        <w:ind w:hanging="283" w:left="709"/>
        <w:rPr/>
      </w:pPr>
      <w:r>
        <w:rPr/>
        <w:t>Krasocin,</w:t>
      </w:r>
    </w:p>
    <w:p>
      <w:pPr>
        <w:pStyle w:val="BodyText"/>
        <w:numPr>
          <w:ilvl w:val="0"/>
          <w:numId w:val="1"/>
        </w:numPr>
        <w:tabs>
          <w:tab w:val="clear" w:pos="708"/>
          <w:tab w:val="left" w:pos="0" w:leader="none"/>
        </w:tabs>
        <w:ind w:hanging="283" w:left="709"/>
        <w:rPr/>
      </w:pPr>
      <w:r>
        <w:rPr/>
        <w:t>Moskorzew,</w:t>
      </w:r>
    </w:p>
    <w:p>
      <w:pPr>
        <w:pStyle w:val="BodyText"/>
        <w:numPr>
          <w:ilvl w:val="0"/>
          <w:numId w:val="1"/>
        </w:numPr>
        <w:tabs>
          <w:tab w:val="clear" w:pos="708"/>
          <w:tab w:val="left" w:pos="0" w:leader="none"/>
        </w:tabs>
        <w:ind w:hanging="283" w:left="709"/>
        <w:rPr/>
      </w:pPr>
      <w:r>
        <w:rPr/>
        <w:t>Radków,</w:t>
      </w:r>
    </w:p>
    <w:p>
      <w:pPr>
        <w:pStyle w:val="BodyText"/>
        <w:numPr>
          <w:ilvl w:val="0"/>
          <w:numId w:val="1"/>
        </w:numPr>
        <w:tabs>
          <w:tab w:val="clear" w:pos="708"/>
          <w:tab w:val="left" w:pos="0" w:leader="none"/>
        </w:tabs>
        <w:ind w:hanging="283" w:left="709"/>
        <w:rPr/>
      </w:pPr>
      <w:r>
        <w:rPr/>
        <w:t>Secemin.</w:t>
      </w:r>
    </w:p>
    <w:p>
      <w:pPr>
        <w:pStyle w:val="BodyText"/>
        <w:rPr/>
      </w:pPr>
      <w:r>
        <w:rPr/>
        <w:t>Powiat ma charakter miejsko-wiejski. Znaczną część mieszkańców stanowią osoby zamieszkujące tereny wiejskie, co wpływa na dostępność usług specjalistycznych oraz transport publiczny. Dzieci i młodzież korzystają z edukacji w szkołach podstawowych i ponadpodstawowych prowadzonych przez gminy oraz powiat.</w:t>
      </w:r>
    </w:p>
    <w:p>
      <w:pPr>
        <w:pStyle w:val="Liniapozioma"/>
        <w:rPr/>
      </w:pPr>
      <w:r>
        <w:rPr/>
      </w:r>
    </w:p>
    <w:p>
      <w:pPr>
        <w:pStyle w:val="Heading1"/>
        <w:rPr>
          <w:sz w:val="40"/>
          <w:szCs w:val="40"/>
        </w:rPr>
      </w:pPr>
      <w:r>
        <w:rPr>
          <w:sz w:val="40"/>
          <w:szCs w:val="40"/>
        </w:rPr>
      </w:r>
    </w:p>
    <w:p>
      <w:pPr>
        <w:pStyle w:val="Heading1"/>
        <w:rPr>
          <w:sz w:val="40"/>
          <w:szCs w:val="40"/>
        </w:rPr>
      </w:pPr>
      <w:r>
        <w:rPr>
          <w:sz w:val="40"/>
          <w:szCs w:val="40"/>
        </w:rPr>
        <w:t>III. CEL DIAGNOZY</w:t>
      </w:r>
    </w:p>
    <w:p>
      <w:pPr>
        <w:pStyle w:val="BodyText"/>
        <w:rPr/>
      </w:pPr>
      <w:r>
        <w:rPr/>
        <w:t>Celem diagnozy jest:</w:t>
      </w:r>
    </w:p>
    <w:p>
      <w:pPr>
        <w:pStyle w:val="BodyText"/>
        <w:numPr>
          <w:ilvl w:val="0"/>
          <w:numId w:val="2"/>
        </w:numPr>
        <w:tabs>
          <w:tab w:val="clear" w:pos="708"/>
          <w:tab w:val="left" w:pos="0" w:leader="none"/>
        </w:tabs>
        <w:ind w:hanging="283" w:left="709"/>
        <w:rPr/>
      </w:pPr>
      <w:r>
        <w:rPr/>
        <w:t>identyfikacja potrzeb dzieci, uczniów oraz rodzin,</w:t>
      </w:r>
    </w:p>
    <w:p>
      <w:pPr>
        <w:pStyle w:val="BodyText"/>
        <w:numPr>
          <w:ilvl w:val="0"/>
          <w:numId w:val="2"/>
        </w:numPr>
        <w:tabs>
          <w:tab w:val="clear" w:pos="708"/>
          <w:tab w:val="left" w:pos="0" w:leader="none"/>
        </w:tabs>
        <w:ind w:hanging="283" w:left="709"/>
        <w:rPr/>
      </w:pPr>
      <w:r>
        <w:rPr/>
        <w:t>określenie mocnych stron lokalnego systemu wsparcia,</w:t>
      </w:r>
    </w:p>
    <w:p>
      <w:pPr>
        <w:pStyle w:val="BodyText"/>
        <w:numPr>
          <w:ilvl w:val="0"/>
          <w:numId w:val="2"/>
        </w:numPr>
        <w:tabs>
          <w:tab w:val="clear" w:pos="708"/>
          <w:tab w:val="left" w:pos="0" w:leader="none"/>
        </w:tabs>
        <w:ind w:hanging="283" w:left="709"/>
        <w:rPr/>
      </w:pPr>
      <w:r>
        <w:rPr/>
        <w:t>wskazanie obszarów wymagających rozwoju,</w:t>
      </w:r>
    </w:p>
    <w:p>
      <w:pPr>
        <w:pStyle w:val="BodyText"/>
        <w:numPr>
          <w:ilvl w:val="0"/>
          <w:numId w:val="2"/>
        </w:numPr>
        <w:tabs>
          <w:tab w:val="clear" w:pos="708"/>
          <w:tab w:val="left" w:pos="0" w:leader="none"/>
        </w:tabs>
        <w:ind w:hanging="283" w:left="709"/>
        <w:rPr/>
      </w:pPr>
      <w:r>
        <w:rPr/>
        <w:t>usprawnienie współpracy pomiędzy instytucjami,</w:t>
      </w:r>
    </w:p>
    <w:p>
      <w:pPr>
        <w:pStyle w:val="BodyText"/>
        <w:numPr>
          <w:ilvl w:val="0"/>
          <w:numId w:val="2"/>
        </w:numPr>
        <w:tabs>
          <w:tab w:val="clear" w:pos="708"/>
          <w:tab w:val="left" w:pos="0" w:leader="none"/>
        </w:tabs>
        <w:ind w:hanging="283" w:left="709"/>
        <w:rPr/>
      </w:pPr>
      <w:r>
        <w:rPr/>
        <w:t>wypracowanie kierunków działań profilaktycznych i interwencyjnych.</w:t>
      </w:r>
    </w:p>
    <w:p>
      <w:pPr>
        <w:pStyle w:val="Liniapozioma"/>
        <w:rPr/>
      </w:pPr>
      <w:r>
        <w:rPr/>
      </w:r>
    </w:p>
    <w:p>
      <w:pPr>
        <w:pStyle w:val="Heading1"/>
        <w:rPr>
          <w:sz w:val="40"/>
          <w:szCs w:val="40"/>
        </w:rPr>
      </w:pPr>
      <w:r>
        <w:rPr>
          <w:sz w:val="40"/>
          <w:szCs w:val="40"/>
        </w:rPr>
        <w:t>IV. OBSZARY DIAGNOZY</w:t>
      </w:r>
    </w:p>
    <w:p>
      <w:pPr>
        <w:pStyle w:val="BodyText"/>
        <w:rPr/>
      </w:pPr>
      <w:r>
        <w:rPr/>
        <w:t>Analizie poddano następujące obszary:</w:t>
      </w:r>
    </w:p>
    <w:p>
      <w:pPr>
        <w:pStyle w:val="BodyText"/>
        <w:numPr>
          <w:ilvl w:val="0"/>
          <w:numId w:val="3"/>
        </w:numPr>
        <w:tabs>
          <w:tab w:val="clear" w:pos="708"/>
          <w:tab w:val="left" w:pos="0" w:leader="none"/>
        </w:tabs>
        <w:ind w:hanging="283" w:left="709"/>
        <w:rPr/>
      </w:pPr>
      <w:r>
        <w:rPr/>
        <w:t>zdrowie psychiczne dzieci i młodzieży,</w:t>
      </w:r>
    </w:p>
    <w:p>
      <w:pPr>
        <w:pStyle w:val="BodyText"/>
        <w:numPr>
          <w:ilvl w:val="0"/>
          <w:numId w:val="3"/>
        </w:numPr>
        <w:tabs>
          <w:tab w:val="clear" w:pos="708"/>
          <w:tab w:val="left" w:pos="0" w:leader="none"/>
        </w:tabs>
        <w:ind w:hanging="283" w:left="709"/>
        <w:rPr/>
      </w:pPr>
      <w:r>
        <w:rPr/>
        <w:t>edukację,</w:t>
      </w:r>
    </w:p>
    <w:p>
      <w:pPr>
        <w:pStyle w:val="BodyText"/>
        <w:numPr>
          <w:ilvl w:val="0"/>
          <w:numId w:val="3"/>
        </w:numPr>
        <w:tabs>
          <w:tab w:val="clear" w:pos="708"/>
          <w:tab w:val="left" w:pos="0" w:leader="none"/>
        </w:tabs>
        <w:ind w:hanging="283" w:left="709"/>
        <w:rPr/>
      </w:pPr>
      <w:r>
        <w:rPr/>
        <w:t>funkcjonowanie rodzin,</w:t>
      </w:r>
    </w:p>
    <w:p>
      <w:pPr>
        <w:pStyle w:val="BodyText"/>
        <w:numPr>
          <w:ilvl w:val="0"/>
          <w:numId w:val="3"/>
        </w:numPr>
        <w:tabs>
          <w:tab w:val="clear" w:pos="708"/>
          <w:tab w:val="left" w:pos="0" w:leader="none"/>
        </w:tabs>
        <w:ind w:hanging="283" w:left="709"/>
        <w:rPr/>
      </w:pPr>
      <w:r>
        <w:rPr/>
        <w:t>bezpieczeństwo dzieci,</w:t>
      </w:r>
    </w:p>
    <w:p>
      <w:pPr>
        <w:pStyle w:val="BodyText"/>
        <w:numPr>
          <w:ilvl w:val="0"/>
          <w:numId w:val="3"/>
        </w:numPr>
        <w:tabs>
          <w:tab w:val="clear" w:pos="708"/>
          <w:tab w:val="left" w:pos="0" w:leader="none"/>
        </w:tabs>
        <w:ind w:hanging="283" w:left="709"/>
        <w:rPr/>
      </w:pPr>
      <w:r>
        <w:rPr/>
        <w:t>sytuację społeczną,</w:t>
      </w:r>
    </w:p>
    <w:p>
      <w:pPr>
        <w:pStyle w:val="BodyText"/>
        <w:numPr>
          <w:ilvl w:val="0"/>
          <w:numId w:val="3"/>
        </w:numPr>
        <w:tabs>
          <w:tab w:val="clear" w:pos="708"/>
          <w:tab w:val="left" w:pos="0" w:leader="none"/>
        </w:tabs>
        <w:ind w:hanging="283" w:left="709"/>
        <w:rPr/>
      </w:pPr>
      <w:r>
        <w:rPr/>
        <w:t>dostępność specjalistów,</w:t>
      </w:r>
    </w:p>
    <w:p>
      <w:pPr>
        <w:pStyle w:val="BodyText"/>
        <w:numPr>
          <w:ilvl w:val="0"/>
          <w:numId w:val="3"/>
        </w:numPr>
        <w:tabs>
          <w:tab w:val="clear" w:pos="708"/>
          <w:tab w:val="left" w:pos="0" w:leader="none"/>
        </w:tabs>
        <w:ind w:hanging="283" w:left="709"/>
        <w:rPr/>
      </w:pPr>
      <w:r>
        <w:rPr/>
        <w:t>współpracę międzyinstytucjonalną,</w:t>
      </w:r>
    </w:p>
    <w:p>
      <w:pPr>
        <w:pStyle w:val="BodyText"/>
        <w:numPr>
          <w:ilvl w:val="0"/>
          <w:numId w:val="3"/>
        </w:numPr>
        <w:tabs>
          <w:tab w:val="clear" w:pos="708"/>
          <w:tab w:val="left" w:pos="0" w:leader="none"/>
        </w:tabs>
        <w:ind w:hanging="283" w:left="709"/>
        <w:rPr/>
      </w:pPr>
      <w:r>
        <w:rPr/>
        <w:t>profilaktykę zdrowotną,</w:t>
      </w:r>
    </w:p>
    <w:p>
      <w:pPr>
        <w:pStyle w:val="BodyText"/>
        <w:numPr>
          <w:ilvl w:val="0"/>
          <w:numId w:val="3"/>
        </w:numPr>
        <w:tabs>
          <w:tab w:val="clear" w:pos="708"/>
          <w:tab w:val="left" w:pos="0" w:leader="none"/>
        </w:tabs>
        <w:ind w:hanging="283" w:left="709"/>
        <w:rPr/>
      </w:pPr>
      <w:r>
        <w:rPr/>
        <w:t>aktywność społeczną i środowiskową.</w:t>
      </w:r>
    </w:p>
    <w:p>
      <w:pPr>
        <w:pStyle w:val="Liniapozioma"/>
        <w:rPr/>
      </w:pPr>
      <w:r>
        <w:rPr/>
      </w:r>
    </w:p>
    <w:p>
      <w:pPr>
        <w:pStyle w:val="Heading1"/>
        <w:rPr>
          <w:sz w:val="40"/>
          <w:szCs w:val="40"/>
        </w:rPr>
      </w:pPr>
      <w:r>
        <w:rPr>
          <w:sz w:val="40"/>
          <w:szCs w:val="40"/>
        </w:rPr>
      </w:r>
      <w:r>
        <w:br w:type="page"/>
      </w:r>
    </w:p>
    <w:p>
      <w:pPr>
        <w:pStyle w:val="Heading1"/>
        <w:rPr>
          <w:sz w:val="40"/>
          <w:szCs w:val="40"/>
        </w:rPr>
      </w:pPr>
      <w:r>
        <w:rPr>
          <w:sz w:val="40"/>
          <w:szCs w:val="40"/>
        </w:rPr>
        <w:t>V. ZIDENTYFIKOWANE POTRZEBY</w:t>
      </w:r>
    </w:p>
    <w:p>
      <w:pPr>
        <w:pStyle w:val="Heading2"/>
        <w:rPr/>
      </w:pPr>
      <w:r>
        <w:rPr/>
        <w:t>1. Zdrowie psychiczne dzieci i młodzieży</w:t>
      </w:r>
    </w:p>
    <w:p>
      <w:pPr>
        <w:pStyle w:val="BodyText"/>
        <w:rPr/>
      </w:pPr>
      <w:r>
        <w:rPr/>
        <w:tab/>
        <w:t>Obserwuje się wzrost liczby dzieci i młodzieży zgłaszających trudności emocjonalne, problemy adaptacyjne, zaburzenia lękowe oraz objawy obniżonego nastroju. Szkoły wskazują na zwiększone zapotrzebowanie na wsparcie psychologiczne oraz terapeutyczne.</w:t>
      </w:r>
    </w:p>
    <w:p>
      <w:pPr>
        <w:pStyle w:val="Heading3"/>
        <w:rPr/>
      </w:pPr>
      <w:r>
        <w:rPr/>
        <w:t>Potrzeby</w:t>
      </w:r>
    </w:p>
    <w:p>
      <w:pPr>
        <w:pStyle w:val="BodyText"/>
        <w:numPr>
          <w:ilvl w:val="0"/>
          <w:numId w:val="4"/>
        </w:numPr>
        <w:tabs>
          <w:tab w:val="clear" w:pos="708"/>
          <w:tab w:val="left" w:pos="0" w:leader="none"/>
        </w:tabs>
        <w:ind w:hanging="283" w:left="709"/>
        <w:rPr/>
      </w:pPr>
      <w:r>
        <w:rPr/>
        <w:t>zwiększenie dostępności psychologów,</w:t>
      </w:r>
    </w:p>
    <w:p>
      <w:pPr>
        <w:pStyle w:val="BodyText"/>
        <w:numPr>
          <w:ilvl w:val="0"/>
          <w:numId w:val="4"/>
        </w:numPr>
        <w:tabs>
          <w:tab w:val="clear" w:pos="708"/>
          <w:tab w:val="left" w:pos="0" w:leader="none"/>
        </w:tabs>
        <w:ind w:hanging="283" w:left="709"/>
        <w:rPr/>
      </w:pPr>
      <w:r>
        <w:rPr/>
        <w:t>skrócenie czasu oczekiwania na diagnozę,</w:t>
      </w:r>
    </w:p>
    <w:p>
      <w:pPr>
        <w:pStyle w:val="BodyText"/>
        <w:numPr>
          <w:ilvl w:val="0"/>
          <w:numId w:val="4"/>
        </w:numPr>
        <w:tabs>
          <w:tab w:val="clear" w:pos="708"/>
          <w:tab w:val="left" w:pos="0" w:leader="none"/>
        </w:tabs>
        <w:ind w:hanging="283" w:left="709"/>
        <w:rPr/>
      </w:pPr>
      <w:r>
        <w:rPr/>
        <w:t>rozwój pomocy psychiatrycznej dla dzieci i młodzieży,</w:t>
      </w:r>
    </w:p>
    <w:p>
      <w:pPr>
        <w:pStyle w:val="BodyText"/>
        <w:numPr>
          <w:ilvl w:val="0"/>
          <w:numId w:val="4"/>
        </w:numPr>
        <w:tabs>
          <w:tab w:val="clear" w:pos="708"/>
          <w:tab w:val="left" w:pos="0" w:leader="none"/>
        </w:tabs>
        <w:ind w:hanging="283" w:left="709"/>
        <w:rPr/>
      </w:pPr>
      <w:r>
        <w:rPr/>
        <w:t>zwiększenie liczby programów profilaktycznych.</w:t>
      </w:r>
    </w:p>
    <w:p>
      <w:pPr>
        <w:pStyle w:val="Liniapozioma"/>
        <w:rPr/>
      </w:pPr>
      <w:r>
        <w:rPr/>
      </w:r>
    </w:p>
    <w:p>
      <w:pPr>
        <w:pStyle w:val="Heading2"/>
        <w:rPr/>
      </w:pPr>
      <w:r>
        <w:rPr/>
        <w:t>2. Funkcjonowanie rodzin</w:t>
      </w:r>
    </w:p>
    <w:p>
      <w:pPr>
        <w:pStyle w:val="BodyText"/>
        <w:rPr/>
      </w:pPr>
      <w:r>
        <w:rPr/>
        <w:t>Część rodzin doświadcza trudności wychowawczych, ekonomicznych lub opiekuńczych. Występuje potrzeba wzmacniania kompetencji rodzicielskich oraz rozwijania wsparcia środowiskowego.</w:t>
      </w:r>
    </w:p>
    <w:p>
      <w:pPr>
        <w:pStyle w:val="Heading3"/>
        <w:rPr/>
      </w:pPr>
      <w:r>
        <w:rPr/>
        <w:t>Potrzeby</w:t>
      </w:r>
    </w:p>
    <w:p>
      <w:pPr>
        <w:pStyle w:val="BodyText"/>
        <w:numPr>
          <w:ilvl w:val="0"/>
          <w:numId w:val="5"/>
        </w:numPr>
        <w:tabs>
          <w:tab w:val="clear" w:pos="708"/>
          <w:tab w:val="left" w:pos="0" w:leader="none"/>
        </w:tabs>
        <w:ind w:hanging="283" w:left="709"/>
        <w:rPr/>
      </w:pPr>
      <w:r>
        <w:rPr/>
        <w:t>zwiększenie liczby asystentów rodziny,</w:t>
      </w:r>
    </w:p>
    <w:p>
      <w:pPr>
        <w:pStyle w:val="BodyText"/>
        <w:numPr>
          <w:ilvl w:val="0"/>
          <w:numId w:val="5"/>
        </w:numPr>
        <w:tabs>
          <w:tab w:val="clear" w:pos="708"/>
          <w:tab w:val="left" w:pos="0" w:leader="none"/>
        </w:tabs>
        <w:ind w:hanging="283" w:left="709"/>
        <w:rPr/>
      </w:pPr>
      <w:r>
        <w:rPr/>
        <w:t>rozwój poradnictwa rodzinnego,</w:t>
      </w:r>
    </w:p>
    <w:p>
      <w:pPr>
        <w:pStyle w:val="BodyText"/>
        <w:numPr>
          <w:ilvl w:val="0"/>
          <w:numId w:val="5"/>
        </w:numPr>
        <w:tabs>
          <w:tab w:val="clear" w:pos="708"/>
          <w:tab w:val="left" w:pos="0" w:leader="none"/>
        </w:tabs>
        <w:ind w:hanging="283" w:left="709"/>
        <w:rPr/>
      </w:pPr>
      <w:r>
        <w:rPr/>
        <w:t>organizacja grup wsparcia dla rodziców,</w:t>
      </w:r>
    </w:p>
    <w:p>
      <w:pPr>
        <w:pStyle w:val="BodyText"/>
        <w:numPr>
          <w:ilvl w:val="0"/>
          <w:numId w:val="5"/>
        </w:numPr>
        <w:tabs>
          <w:tab w:val="clear" w:pos="708"/>
          <w:tab w:val="left" w:pos="0" w:leader="none"/>
        </w:tabs>
        <w:ind w:hanging="283" w:left="709"/>
        <w:rPr/>
      </w:pPr>
      <w:r>
        <w:rPr/>
        <w:t>poprawa współpracy pomiędzy szkołami a rodzinami.</w:t>
      </w:r>
    </w:p>
    <w:p>
      <w:pPr>
        <w:pStyle w:val="Liniapozioma"/>
        <w:rPr/>
      </w:pPr>
      <w:r>
        <w:rPr/>
      </w:r>
    </w:p>
    <w:p>
      <w:pPr>
        <w:pStyle w:val="Heading2"/>
        <w:rPr/>
      </w:pPr>
      <w:r>
        <w:rPr/>
        <w:t>3. Edukacja</w:t>
      </w:r>
    </w:p>
    <w:p>
      <w:pPr>
        <w:pStyle w:val="BodyText"/>
        <w:rPr/>
      </w:pPr>
      <w:r>
        <w:rPr/>
        <w:t>Placówki oświatowe wskazują na rosnącą liczbę uczniów wymagających pomocy psychologiczno-pedagogicznej, wsparcia pedagogów specjalnych oraz zajęć specjalistycznych.</w:t>
      </w:r>
    </w:p>
    <w:p>
      <w:pPr>
        <w:pStyle w:val="Heading3"/>
        <w:rPr/>
      </w:pPr>
      <w:r>
        <w:rPr/>
        <w:t>Potrzeby</w:t>
      </w:r>
    </w:p>
    <w:p>
      <w:pPr>
        <w:pStyle w:val="BodyText"/>
        <w:numPr>
          <w:ilvl w:val="0"/>
          <w:numId w:val="6"/>
        </w:numPr>
        <w:tabs>
          <w:tab w:val="clear" w:pos="708"/>
          <w:tab w:val="left" w:pos="0" w:leader="none"/>
        </w:tabs>
        <w:ind w:hanging="283" w:left="709"/>
        <w:rPr/>
      </w:pPr>
      <w:r>
        <w:rPr/>
        <w:t>zwiększenie dostępności specjalistów,</w:t>
      </w:r>
    </w:p>
    <w:p>
      <w:pPr>
        <w:pStyle w:val="BodyText"/>
        <w:numPr>
          <w:ilvl w:val="0"/>
          <w:numId w:val="6"/>
        </w:numPr>
        <w:tabs>
          <w:tab w:val="clear" w:pos="708"/>
          <w:tab w:val="left" w:pos="0" w:leader="none"/>
        </w:tabs>
        <w:ind w:hanging="283" w:left="709"/>
        <w:rPr/>
      </w:pPr>
      <w:r>
        <w:rPr/>
        <w:t>rozwój zajęć terapeutycznych,</w:t>
      </w:r>
    </w:p>
    <w:p>
      <w:pPr>
        <w:pStyle w:val="BodyText"/>
        <w:numPr>
          <w:ilvl w:val="0"/>
          <w:numId w:val="6"/>
        </w:numPr>
        <w:tabs>
          <w:tab w:val="clear" w:pos="708"/>
          <w:tab w:val="left" w:pos="0" w:leader="none"/>
        </w:tabs>
        <w:ind w:hanging="283" w:left="709"/>
        <w:rPr/>
      </w:pPr>
      <w:r>
        <w:rPr/>
        <w:t>wsparcie uczniów z trudnościami edukacyjnymi,</w:t>
      </w:r>
    </w:p>
    <w:p>
      <w:pPr>
        <w:pStyle w:val="BodyText"/>
        <w:numPr>
          <w:ilvl w:val="0"/>
          <w:numId w:val="6"/>
        </w:numPr>
        <w:tabs>
          <w:tab w:val="clear" w:pos="708"/>
          <w:tab w:val="left" w:pos="0" w:leader="none"/>
        </w:tabs>
        <w:ind w:hanging="283" w:left="709"/>
        <w:rPr/>
      </w:pPr>
      <w:r>
        <w:rPr/>
        <w:t>rozwijanie edukacji włączającej.</w:t>
      </w:r>
    </w:p>
    <w:p>
      <w:pPr>
        <w:pStyle w:val="Liniapozioma"/>
        <w:rPr/>
      </w:pPr>
      <w:r>
        <w:rPr/>
      </w:r>
    </w:p>
    <w:p>
      <w:pPr>
        <w:pStyle w:val="Heading2"/>
        <w:rPr/>
      </w:pPr>
      <w:r>
        <w:rPr/>
        <w:t>4. Bezpieczeństwo dzieci</w:t>
      </w:r>
    </w:p>
    <w:p>
      <w:pPr>
        <w:pStyle w:val="BodyText"/>
        <w:rPr/>
      </w:pPr>
      <w:r>
        <w:rPr/>
        <w:t>Do najczęściej zgłaszanych problemów należą:</w:t>
      </w:r>
    </w:p>
    <w:p>
      <w:pPr>
        <w:pStyle w:val="BodyText"/>
        <w:numPr>
          <w:ilvl w:val="0"/>
          <w:numId w:val="7"/>
        </w:numPr>
        <w:tabs>
          <w:tab w:val="clear" w:pos="708"/>
          <w:tab w:val="left" w:pos="0" w:leader="none"/>
        </w:tabs>
        <w:ind w:hanging="283" w:left="709"/>
        <w:rPr/>
      </w:pPr>
      <w:r>
        <w:rPr/>
        <w:t>przemoc rówieśnicza,</w:t>
      </w:r>
    </w:p>
    <w:p>
      <w:pPr>
        <w:pStyle w:val="BodyText"/>
        <w:numPr>
          <w:ilvl w:val="0"/>
          <w:numId w:val="7"/>
        </w:numPr>
        <w:tabs>
          <w:tab w:val="clear" w:pos="708"/>
          <w:tab w:val="left" w:pos="0" w:leader="none"/>
        </w:tabs>
        <w:ind w:hanging="283" w:left="709"/>
        <w:rPr/>
      </w:pPr>
      <w:r>
        <w:rPr/>
        <w:t>cyberprzemoc,</w:t>
      </w:r>
    </w:p>
    <w:p>
      <w:pPr>
        <w:pStyle w:val="BodyText"/>
        <w:numPr>
          <w:ilvl w:val="0"/>
          <w:numId w:val="7"/>
        </w:numPr>
        <w:tabs>
          <w:tab w:val="clear" w:pos="708"/>
          <w:tab w:val="left" w:pos="0" w:leader="none"/>
        </w:tabs>
        <w:ind w:hanging="283" w:left="709"/>
        <w:rPr/>
      </w:pPr>
      <w:r>
        <w:rPr/>
        <w:t>zachowania ryzykowne,</w:t>
      </w:r>
    </w:p>
    <w:p>
      <w:pPr>
        <w:pStyle w:val="BodyText"/>
        <w:numPr>
          <w:ilvl w:val="0"/>
          <w:numId w:val="7"/>
        </w:numPr>
        <w:tabs>
          <w:tab w:val="clear" w:pos="708"/>
          <w:tab w:val="left" w:pos="0" w:leader="none"/>
        </w:tabs>
        <w:ind w:hanging="283" w:left="709"/>
        <w:rPr/>
      </w:pPr>
      <w:r>
        <w:rPr/>
        <w:t>eksperymentowanie z substancjami psychoaktywnymi,</w:t>
      </w:r>
    </w:p>
    <w:p>
      <w:pPr>
        <w:pStyle w:val="BodyText"/>
        <w:numPr>
          <w:ilvl w:val="0"/>
          <w:numId w:val="7"/>
        </w:numPr>
        <w:tabs>
          <w:tab w:val="clear" w:pos="708"/>
          <w:tab w:val="left" w:pos="0" w:leader="none"/>
        </w:tabs>
        <w:ind w:hanging="283" w:left="709"/>
        <w:rPr/>
      </w:pPr>
      <w:r>
        <w:rPr/>
        <w:t>uzależnienia behawioralne.</w:t>
      </w:r>
    </w:p>
    <w:p>
      <w:pPr>
        <w:pStyle w:val="Heading3"/>
        <w:rPr/>
      </w:pPr>
      <w:r>
        <w:rPr/>
        <w:t>Potrzeby</w:t>
      </w:r>
    </w:p>
    <w:p>
      <w:pPr>
        <w:pStyle w:val="BodyText"/>
        <w:numPr>
          <w:ilvl w:val="0"/>
          <w:numId w:val="8"/>
        </w:numPr>
        <w:tabs>
          <w:tab w:val="clear" w:pos="708"/>
          <w:tab w:val="left" w:pos="0" w:leader="none"/>
        </w:tabs>
        <w:ind w:hanging="283" w:left="709"/>
        <w:rPr/>
      </w:pPr>
      <w:r>
        <w:rPr/>
        <w:t>edukacja rodziców,</w:t>
      </w:r>
    </w:p>
    <w:p>
      <w:pPr>
        <w:pStyle w:val="BodyText"/>
        <w:numPr>
          <w:ilvl w:val="0"/>
          <w:numId w:val="8"/>
        </w:numPr>
        <w:tabs>
          <w:tab w:val="clear" w:pos="708"/>
          <w:tab w:val="left" w:pos="0" w:leader="none"/>
        </w:tabs>
        <w:ind w:hanging="283" w:left="709"/>
        <w:rPr/>
      </w:pPr>
      <w:r>
        <w:rPr/>
        <w:t>zwiększenie działań profilaktycznych,</w:t>
      </w:r>
    </w:p>
    <w:p>
      <w:pPr>
        <w:pStyle w:val="BodyText"/>
        <w:numPr>
          <w:ilvl w:val="0"/>
          <w:numId w:val="8"/>
        </w:numPr>
        <w:tabs>
          <w:tab w:val="clear" w:pos="708"/>
          <w:tab w:val="left" w:pos="0" w:leader="none"/>
        </w:tabs>
        <w:ind w:hanging="283" w:left="709"/>
        <w:rPr/>
      </w:pPr>
      <w:r>
        <w:rPr/>
        <w:t>rozwój programów bezpieczeństwa cyfrowego,</w:t>
      </w:r>
    </w:p>
    <w:p>
      <w:pPr>
        <w:pStyle w:val="BodyText"/>
        <w:numPr>
          <w:ilvl w:val="0"/>
          <w:numId w:val="8"/>
        </w:numPr>
        <w:tabs>
          <w:tab w:val="clear" w:pos="708"/>
          <w:tab w:val="left" w:pos="0" w:leader="none"/>
        </w:tabs>
        <w:ind w:hanging="283" w:left="709"/>
        <w:rPr/>
      </w:pPr>
      <w:r>
        <w:rPr/>
        <w:t>współpraca szkół z Policją.</w:t>
      </w:r>
    </w:p>
    <w:p>
      <w:pPr>
        <w:pStyle w:val="Liniapozioma"/>
        <w:rPr/>
      </w:pPr>
      <w:r>
        <w:rPr/>
      </w:r>
    </w:p>
    <w:p>
      <w:pPr>
        <w:pStyle w:val="Heading2"/>
        <w:rPr/>
      </w:pPr>
      <w:r>
        <w:rPr/>
        <w:t>5. Pomoc społeczna</w:t>
      </w:r>
    </w:p>
    <w:p>
      <w:pPr>
        <w:pStyle w:val="BodyText"/>
        <w:rPr/>
      </w:pPr>
      <w:r>
        <w:rPr/>
        <w:t>Pomimo funkcjonowania rozwiniętej sieci instytucji pomocowych część rodzin wymaga długoterminowego wsparcia.</w:t>
      </w:r>
    </w:p>
    <w:p>
      <w:pPr>
        <w:pStyle w:val="Heading3"/>
        <w:rPr/>
      </w:pPr>
      <w:r>
        <w:rPr/>
        <w:t>Potrzeby</w:t>
      </w:r>
    </w:p>
    <w:p>
      <w:pPr>
        <w:pStyle w:val="BodyText"/>
        <w:numPr>
          <w:ilvl w:val="0"/>
          <w:numId w:val="9"/>
        </w:numPr>
        <w:tabs>
          <w:tab w:val="clear" w:pos="708"/>
          <w:tab w:val="left" w:pos="0" w:leader="none"/>
        </w:tabs>
        <w:ind w:hanging="283" w:left="709"/>
        <w:rPr/>
      </w:pPr>
      <w:r>
        <w:rPr/>
        <w:t>lepsza koordynacja pomocy,</w:t>
      </w:r>
    </w:p>
    <w:p>
      <w:pPr>
        <w:pStyle w:val="BodyText"/>
        <w:numPr>
          <w:ilvl w:val="0"/>
          <w:numId w:val="9"/>
        </w:numPr>
        <w:tabs>
          <w:tab w:val="clear" w:pos="708"/>
          <w:tab w:val="left" w:pos="0" w:leader="none"/>
        </w:tabs>
        <w:ind w:hanging="283" w:left="709"/>
        <w:rPr/>
      </w:pPr>
      <w:r>
        <w:rPr/>
        <w:t>szybsza wymiana informacji pomiędzy instytucjami,</w:t>
      </w:r>
    </w:p>
    <w:p>
      <w:pPr>
        <w:pStyle w:val="BodyText"/>
        <w:numPr>
          <w:ilvl w:val="0"/>
          <w:numId w:val="9"/>
        </w:numPr>
        <w:tabs>
          <w:tab w:val="clear" w:pos="708"/>
          <w:tab w:val="left" w:pos="0" w:leader="none"/>
        </w:tabs>
        <w:ind w:hanging="283" w:left="709"/>
        <w:rPr/>
      </w:pPr>
      <w:r>
        <w:rPr/>
        <w:t>zwiększenie dostępności usług środowiskowych.</w:t>
      </w:r>
    </w:p>
    <w:p>
      <w:pPr>
        <w:pStyle w:val="Liniapozioma"/>
        <w:rPr/>
      </w:pPr>
      <w:r>
        <w:rPr/>
      </w:r>
    </w:p>
    <w:p>
      <w:pPr>
        <w:pStyle w:val="Heading1"/>
        <w:rPr>
          <w:sz w:val="40"/>
          <w:szCs w:val="40"/>
        </w:rPr>
      </w:pPr>
      <w:r>
        <w:rPr>
          <w:sz w:val="40"/>
          <w:szCs w:val="40"/>
        </w:rPr>
        <w:t>VI. ANALIZA ZASOBÓW</w:t>
      </w:r>
    </w:p>
    <w:p>
      <w:pPr>
        <w:pStyle w:val="BodyText"/>
        <w:rPr/>
      </w:pPr>
      <w:r>
        <w:rPr/>
        <w:t>Na terenie powiatu funkcjonują między innymi:</w:t>
      </w:r>
    </w:p>
    <w:p>
      <w:pPr>
        <w:pStyle w:val="BodyText"/>
        <w:numPr>
          <w:ilvl w:val="0"/>
          <w:numId w:val="10"/>
        </w:numPr>
        <w:tabs>
          <w:tab w:val="clear" w:pos="708"/>
          <w:tab w:val="left" w:pos="0" w:leader="none"/>
        </w:tabs>
        <w:ind w:hanging="283" w:left="709"/>
        <w:rPr/>
      </w:pPr>
      <w:r>
        <w:rPr/>
        <w:t>Poradnia Psychologiczno-Pedagogiczna,</w:t>
      </w:r>
    </w:p>
    <w:p>
      <w:pPr>
        <w:pStyle w:val="BodyText"/>
        <w:numPr>
          <w:ilvl w:val="0"/>
          <w:numId w:val="10"/>
        </w:numPr>
        <w:tabs>
          <w:tab w:val="clear" w:pos="708"/>
          <w:tab w:val="left" w:pos="0" w:leader="none"/>
        </w:tabs>
        <w:ind w:hanging="283" w:left="709"/>
        <w:rPr/>
      </w:pPr>
      <w:r>
        <w:rPr/>
        <w:t>Powiatowe Centrum Pomocy Rodzinie,</w:t>
      </w:r>
    </w:p>
    <w:p>
      <w:pPr>
        <w:pStyle w:val="BodyText"/>
        <w:numPr>
          <w:ilvl w:val="0"/>
          <w:numId w:val="10"/>
        </w:numPr>
        <w:tabs>
          <w:tab w:val="clear" w:pos="708"/>
          <w:tab w:val="left" w:pos="0" w:leader="none"/>
        </w:tabs>
        <w:ind w:hanging="283" w:left="709"/>
        <w:rPr/>
      </w:pPr>
      <w:r>
        <w:rPr/>
        <w:t>Ośrodki Pomocy Społecznej,</w:t>
      </w:r>
    </w:p>
    <w:p>
      <w:pPr>
        <w:pStyle w:val="BodyText"/>
        <w:numPr>
          <w:ilvl w:val="0"/>
          <w:numId w:val="10"/>
        </w:numPr>
        <w:tabs>
          <w:tab w:val="clear" w:pos="708"/>
          <w:tab w:val="left" w:pos="0" w:leader="none"/>
        </w:tabs>
        <w:ind w:hanging="283" w:left="709"/>
        <w:rPr/>
      </w:pPr>
      <w:r>
        <w:rPr/>
        <w:t>szkoły i przedszkola,</w:t>
      </w:r>
    </w:p>
    <w:p>
      <w:pPr>
        <w:pStyle w:val="BodyText"/>
        <w:numPr>
          <w:ilvl w:val="0"/>
          <w:numId w:val="10"/>
        </w:numPr>
        <w:tabs>
          <w:tab w:val="clear" w:pos="708"/>
          <w:tab w:val="left" w:pos="0" w:leader="none"/>
        </w:tabs>
        <w:ind w:hanging="283" w:left="709"/>
        <w:rPr/>
      </w:pPr>
      <w:r>
        <w:rPr/>
        <w:t>Zespół Opieki Zdrowotnej,</w:t>
      </w:r>
    </w:p>
    <w:p>
      <w:pPr>
        <w:pStyle w:val="BodyText"/>
        <w:numPr>
          <w:ilvl w:val="0"/>
          <w:numId w:val="10"/>
        </w:numPr>
        <w:tabs>
          <w:tab w:val="clear" w:pos="708"/>
          <w:tab w:val="left" w:pos="0" w:leader="none"/>
        </w:tabs>
        <w:ind w:hanging="283" w:left="709"/>
        <w:rPr/>
      </w:pPr>
      <w:r>
        <w:rPr/>
        <w:t>Policja,</w:t>
      </w:r>
    </w:p>
    <w:p>
      <w:pPr>
        <w:pStyle w:val="BodyText"/>
        <w:numPr>
          <w:ilvl w:val="0"/>
          <w:numId w:val="10"/>
        </w:numPr>
        <w:tabs>
          <w:tab w:val="clear" w:pos="708"/>
          <w:tab w:val="left" w:pos="0" w:leader="none"/>
        </w:tabs>
        <w:ind w:hanging="283" w:left="709"/>
        <w:rPr/>
      </w:pPr>
      <w:r>
        <w:rPr/>
        <w:t>Powiatowa Stacja Sanitarno-Epidemiologiczna,</w:t>
      </w:r>
    </w:p>
    <w:p>
      <w:pPr>
        <w:pStyle w:val="BodyText"/>
        <w:numPr>
          <w:ilvl w:val="0"/>
          <w:numId w:val="10"/>
        </w:numPr>
        <w:tabs>
          <w:tab w:val="clear" w:pos="708"/>
          <w:tab w:val="left" w:pos="0" w:leader="none"/>
        </w:tabs>
        <w:ind w:hanging="283" w:left="709"/>
        <w:rPr/>
      </w:pPr>
      <w:r>
        <w:rPr/>
        <w:t>Powiatowy Urząd Pracy,</w:t>
      </w:r>
    </w:p>
    <w:p>
      <w:pPr>
        <w:pStyle w:val="BodyText"/>
        <w:numPr>
          <w:ilvl w:val="0"/>
          <w:numId w:val="10"/>
        </w:numPr>
        <w:tabs>
          <w:tab w:val="clear" w:pos="708"/>
          <w:tab w:val="left" w:pos="0" w:leader="none"/>
        </w:tabs>
        <w:ind w:hanging="283" w:left="709"/>
        <w:rPr/>
      </w:pPr>
      <w:r>
        <w:rPr/>
        <w:t>organizacje pozarządowe,</w:t>
      </w:r>
    </w:p>
    <w:p>
      <w:pPr>
        <w:pStyle w:val="BodyText"/>
        <w:numPr>
          <w:ilvl w:val="0"/>
          <w:numId w:val="10"/>
        </w:numPr>
        <w:tabs>
          <w:tab w:val="clear" w:pos="708"/>
          <w:tab w:val="left" w:pos="0" w:leader="none"/>
        </w:tabs>
        <w:ind w:hanging="283" w:left="709"/>
        <w:rPr/>
      </w:pPr>
      <w:r>
        <w:rPr/>
        <w:t>biblioteki,</w:t>
      </w:r>
    </w:p>
    <w:p>
      <w:pPr>
        <w:pStyle w:val="BodyText"/>
        <w:numPr>
          <w:ilvl w:val="0"/>
          <w:numId w:val="10"/>
        </w:numPr>
        <w:tabs>
          <w:tab w:val="clear" w:pos="708"/>
          <w:tab w:val="left" w:pos="0" w:leader="none"/>
        </w:tabs>
        <w:ind w:hanging="283" w:left="709"/>
        <w:rPr/>
      </w:pPr>
      <w:r>
        <w:rPr/>
        <w:t>instytucje kultury,</w:t>
      </w:r>
    </w:p>
    <w:p>
      <w:pPr>
        <w:pStyle w:val="BodyText"/>
        <w:numPr>
          <w:ilvl w:val="0"/>
          <w:numId w:val="10"/>
        </w:numPr>
        <w:tabs>
          <w:tab w:val="clear" w:pos="708"/>
          <w:tab w:val="left" w:pos="0" w:leader="none"/>
        </w:tabs>
        <w:ind w:hanging="283" w:left="709"/>
        <w:rPr/>
      </w:pPr>
      <w:r>
        <w:rPr/>
        <w:t>kluby sportowe,</w:t>
      </w:r>
    </w:p>
    <w:p>
      <w:pPr>
        <w:pStyle w:val="BodyText"/>
        <w:numPr>
          <w:ilvl w:val="0"/>
          <w:numId w:val="10"/>
        </w:numPr>
        <w:tabs>
          <w:tab w:val="clear" w:pos="708"/>
          <w:tab w:val="left" w:pos="0" w:leader="none"/>
        </w:tabs>
        <w:ind w:hanging="283" w:left="709"/>
        <w:rPr/>
      </w:pPr>
      <w:r>
        <w:rPr/>
        <w:t>Ochotnicze Straże Pożarne.</w:t>
      </w:r>
    </w:p>
    <w:p>
      <w:pPr>
        <w:pStyle w:val="BodyText"/>
        <w:rPr/>
      </w:pPr>
      <w:r>
        <w:rPr/>
        <w:t>Stanowią one podstawę lokalnego systemu wsparcia i współpracy.</w:t>
      </w:r>
    </w:p>
    <w:p>
      <w:pPr>
        <w:pStyle w:val="Liniapozioma"/>
        <w:rPr/>
      </w:pPr>
      <w:r>
        <w:rPr/>
      </w:r>
    </w:p>
    <w:p>
      <w:pPr>
        <w:pStyle w:val="Heading1"/>
        <w:rPr>
          <w:sz w:val="40"/>
          <w:szCs w:val="40"/>
        </w:rPr>
      </w:pPr>
      <w:r>
        <w:rPr>
          <w:sz w:val="40"/>
          <w:szCs w:val="40"/>
        </w:rPr>
        <w:t>VII. MOCNE STRONY</w:t>
      </w:r>
    </w:p>
    <w:p>
      <w:pPr>
        <w:pStyle w:val="BodyText"/>
        <w:numPr>
          <w:ilvl w:val="0"/>
          <w:numId w:val="11"/>
        </w:numPr>
        <w:tabs>
          <w:tab w:val="clear" w:pos="708"/>
          <w:tab w:val="left" w:pos="0" w:leader="none"/>
        </w:tabs>
        <w:ind w:hanging="283" w:left="709"/>
        <w:rPr/>
      </w:pPr>
      <w:r>
        <w:rPr/>
        <w:t>funkcjonowanie podstawowych instytucji wsparcia,</w:t>
      </w:r>
    </w:p>
    <w:p>
      <w:pPr>
        <w:pStyle w:val="BodyText"/>
        <w:numPr>
          <w:ilvl w:val="0"/>
          <w:numId w:val="11"/>
        </w:numPr>
        <w:tabs>
          <w:tab w:val="clear" w:pos="708"/>
          <w:tab w:val="left" w:pos="0" w:leader="none"/>
        </w:tabs>
        <w:ind w:hanging="283" w:left="709"/>
        <w:rPr/>
      </w:pPr>
      <w:r>
        <w:rPr/>
        <w:t>zaangażowanie szkół,</w:t>
      </w:r>
    </w:p>
    <w:p>
      <w:pPr>
        <w:pStyle w:val="BodyText"/>
        <w:numPr>
          <w:ilvl w:val="0"/>
          <w:numId w:val="11"/>
        </w:numPr>
        <w:tabs>
          <w:tab w:val="clear" w:pos="708"/>
          <w:tab w:val="left" w:pos="0" w:leader="none"/>
        </w:tabs>
        <w:ind w:hanging="283" w:left="709"/>
        <w:rPr/>
      </w:pPr>
      <w:r>
        <w:rPr/>
        <w:t>rozwijająca się współpraca pomiędzy jednostkami,</w:t>
      </w:r>
    </w:p>
    <w:p>
      <w:pPr>
        <w:pStyle w:val="BodyText"/>
        <w:numPr>
          <w:ilvl w:val="0"/>
          <w:numId w:val="11"/>
        </w:numPr>
        <w:tabs>
          <w:tab w:val="clear" w:pos="708"/>
          <w:tab w:val="left" w:pos="0" w:leader="none"/>
        </w:tabs>
        <w:ind w:hanging="283" w:left="709"/>
        <w:rPr/>
      </w:pPr>
      <w:r>
        <w:rPr/>
        <w:t>aktywność organizacji pozarządowych,</w:t>
      </w:r>
    </w:p>
    <w:p>
      <w:pPr>
        <w:pStyle w:val="BodyText"/>
        <w:numPr>
          <w:ilvl w:val="0"/>
          <w:numId w:val="11"/>
        </w:numPr>
        <w:tabs>
          <w:tab w:val="clear" w:pos="708"/>
          <w:tab w:val="left" w:pos="0" w:leader="none"/>
        </w:tabs>
        <w:ind w:hanging="283" w:left="709"/>
        <w:rPr/>
      </w:pPr>
      <w:r>
        <w:rPr/>
        <w:t>doświadczenie pracowników pomocy społecznej,</w:t>
      </w:r>
    </w:p>
    <w:p>
      <w:pPr>
        <w:pStyle w:val="BodyText"/>
        <w:numPr>
          <w:ilvl w:val="0"/>
          <w:numId w:val="11"/>
        </w:numPr>
        <w:tabs>
          <w:tab w:val="clear" w:pos="708"/>
          <w:tab w:val="left" w:pos="0" w:leader="none"/>
        </w:tabs>
        <w:ind w:hanging="283" w:left="709"/>
        <w:rPr/>
      </w:pPr>
      <w:r>
        <w:rPr/>
        <w:t>dobra współpraca z Policją i służbą zdrowia.</w:t>
      </w:r>
    </w:p>
    <w:p>
      <w:pPr>
        <w:pStyle w:val="Liniapozioma"/>
        <w:rPr/>
      </w:pPr>
      <w:r>
        <w:rPr/>
      </w:r>
    </w:p>
    <w:p>
      <w:pPr>
        <w:pStyle w:val="Heading1"/>
        <w:rPr>
          <w:sz w:val="40"/>
          <w:szCs w:val="40"/>
        </w:rPr>
      </w:pPr>
      <w:r>
        <w:rPr>
          <w:sz w:val="40"/>
          <w:szCs w:val="40"/>
        </w:rPr>
        <w:t>VIII. OBSZARY WYMAGAJĄCE</w:t>
        <w:br/>
        <w:t>WZMOCNIENIA</w:t>
      </w:r>
    </w:p>
    <w:p>
      <w:pPr>
        <w:pStyle w:val="BodyText"/>
        <w:numPr>
          <w:ilvl w:val="0"/>
          <w:numId w:val="12"/>
        </w:numPr>
        <w:tabs>
          <w:tab w:val="clear" w:pos="708"/>
          <w:tab w:val="left" w:pos="0" w:leader="none"/>
        </w:tabs>
        <w:ind w:hanging="283" w:left="709"/>
        <w:rPr/>
      </w:pPr>
      <w:r>
        <w:rPr/>
        <w:t>ograniczona liczba psychologów dziecięcych,</w:t>
      </w:r>
    </w:p>
    <w:p>
      <w:pPr>
        <w:pStyle w:val="BodyText"/>
        <w:numPr>
          <w:ilvl w:val="0"/>
          <w:numId w:val="12"/>
        </w:numPr>
        <w:tabs>
          <w:tab w:val="clear" w:pos="708"/>
          <w:tab w:val="left" w:pos="0" w:leader="none"/>
        </w:tabs>
        <w:ind w:hanging="283" w:left="709"/>
        <w:rPr/>
      </w:pPr>
      <w:r>
        <w:rPr/>
        <w:t>niewystarczająca liczba terapeutów,</w:t>
      </w:r>
    </w:p>
    <w:p>
      <w:pPr>
        <w:pStyle w:val="BodyText"/>
        <w:numPr>
          <w:ilvl w:val="0"/>
          <w:numId w:val="12"/>
        </w:numPr>
        <w:tabs>
          <w:tab w:val="clear" w:pos="708"/>
          <w:tab w:val="left" w:pos="0" w:leader="none"/>
        </w:tabs>
        <w:ind w:hanging="283" w:left="709"/>
        <w:rPr/>
      </w:pPr>
      <w:r>
        <w:rPr/>
        <w:t>utrudniony dostęp mieszkańców terenów wiejskich do specjalistów,</w:t>
      </w:r>
    </w:p>
    <w:p>
      <w:pPr>
        <w:pStyle w:val="BodyText"/>
        <w:numPr>
          <w:ilvl w:val="0"/>
          <w:numId w:val="12"/>
        </w:numPr>
        <w:tabs>
          <w:tab w:val="clear" w:pos="708"/>
          <w:tab w:val="left" w:pos="0" w:leader="none"/>
        </w:tabs>
        <w:ind w:hanging="283" w:left="709"/>
        <w:rPr/>
      </w:pPr>
      <w:r>
        <w:rPr/>
        <w:t>wydłużony czas oczekiwania na diagnozę,</w:t>
      </w:r>
    </w:p>
    <w:p>
      <w:pPr>
        <w:pStyle w:val="BodyText"/>
        <w:numPr>
          <w:ilvl w:val="0"/>
          <w:numId w:val="12"/>
        </w:numPr>
        <w:tabs>
          <w:tab w:val="clear" w:pos="708"/>
          <w:tab w:val="left" w:pos="0" w:leader="none"/>
        </w:tabs>
        <w:ind w:hanging="283" w:left="709"/>
        <w:rPr/>
      </w:pPr>
      <w:r>
        <w:rPr/>
        <w:t>potrzeba lepszej koordynacji działań międzyinstytucjonalnych,</w:t>
      </w:r>
    </w:p>
    <w:p>
      <w:pPr>
        <w:pStyle w:val="BodyText"/>
        <w:numPr>
          <w:ilvl w:val="0"/>
          <w:numId w:val="12"/>
        </w:numPr>
        <w:tabs>
          <w:tab w:val="clear" w:pos="708"/>
          <w:tab w:val="left" w:pos="0" w:leader="none"/>
        </w:tabs>
        <w:ind w:hanging="283" w:left="709"/>
        <w:rPr/>
      </w:pPr>
      <w:r>
        <w:rPr/>
        <w:t>rozwój wsparcia środowiskowego.</w:t>
      </w:r>
    </w:p>
    <w:p>
      <w:pPr>
        <w:pStyle w:val="Liniapozioma"/>
        <w:rPr/>
      </w:pPr>
      <w:r>
        <w:rPr/>
      </w:r>
    </w:p>
    <w:p>
      <w:pPr>
        <w:pStyle w:val="Heading1"/>
        <w:rPr>
          <w:sz w:val="40"/>
          <w:szCs w:val="40"/>
        </w:rPr>
      </w:pPr>
      <w:r>
        <w:rPr>
          <w:sz w:val="40"/>
          <w:szCs w:val="40"/>
        </w:rPr>
      </w:r>
    </w:p>
    <w:p>
      <w:pPr>
        <w:pStyle w:val="Heading1"/>
        <w:rPr>
          <w:sz w:val="40"/>
          <w:szCs w:val="40"/>
        </w:rPr>
      </w:pPr>
      <w:r>
        <w:rPr>
          <w:sz w:val="40"/>
          <w:szCs w:val="40"/>
        </w:rPr>
        <w:t>IX. REKOMENDACJE</w:t>
      </w:r>
    </w:p>
    <w:p>
      <w:pPr>
        <w:pStyle w:val="BodyText"/>
        <w:rPr/>
      </w:pPr>
      <w:r>
        <w:rPr/>
        <w:t>Rekomenduje się:</w:t>
      </w:r>
    </w:p>
    <w:p>
      <w:pPr>
        <w:pStyle w:val="BodyText"/>
        <w:numPr>
          <w:ilvl w:val="0"/>
          <w:numId w:val="13"/>
        </w:numPr>
        <w:tabs>
          <w:tab w:val="clear" w:pos="708"/>
          <w:tab w:val="left" w:pos="0" w:leader="none"/>
        </w:tabs>
        <w:ind w:hanging="283" w:left="709"/>
        <w:rPr/>
      </w:pPr>
      <w:r>
        <w:rPr/>
        <w:t>rozwijanie współpracy międzyinstytucjonalnej;</w:t>
      </w:r>
    </w:p>
    <w:p>
      <w:pPr>
        <w:pStyle w:val="BodyText"/>
        <w:numPr>
          <w:ilvl w:val="0"/>
          <w:numId w:val="13"/>
        </w:numPr>
        <w:tabs>
          <w:tab w:val="clear" w:pos="708"/>
          <w:tab w:val="left" w:pos="0" w:leader="none"/>
        </w:tabs>
        <w:ind w:hanging="283" w:left="709"/>
        <w:rPr/>
      </w:pPr>
      <w:r>
        <w:rPr/>
        <w:t>organizowanie regularnych spotkań partnerów WM;</w:t>
      </w:r>
    </w:p>
    <w:p>
      <w:pPr>
        <w:pStyle w:val="BodyText"/>
        <w:numPr>
          <w:ilvl w:val="0"/>
          <w:numId w:val="13"/>
        </w:numPr>
        <w:tabs>
          <w:tab w:val="clear" w:pos="708"/>
          <w:tab w:val="left" w:pos="0" w:leader="none"/>
        </w:tabs>
        <w:ind w:hanging="283" w:left="709"/>
        <w:rPr/>
      </w:pPr>
      <w:r>
        <w:rPr/>
        <w:t>zwiększenie dostępności pomocy psychologicznej;</w:t>
      </w:r>
    </w:p>
    <w:p>
      <w:pPr>
        <w:pStyle w:val="BodyText"/>
        <w:numPr>
          <w:ilvl w:val="0"/>
          <w:numId w:val="13"/>
        </w:numPr>
        <w:tabs>
          <w:tab w:val="clear" w:pos="708"/>
          <w:tab w:val="left" w:pos="0" w:leader="none"/>
        </w:tabs>
        <w:ind w:hanging="283" w:left="709"/>
        <w:rPr/>
      </w:pPr>
      <w:r>
        <w:rPr/>
        <w:t>rozwój profilaktyki zdrowia psychicznego;</w:t>
      </w:r>
    </w:p>
    <w:p>
      <w:pPr>
        <w:pStyle w:val="BodyText"/>
        <w:numPr>
          <w:ilvl w:val="0"/>
          <w:numId w:val="13"/>
        </w:numPr>
        <w:tabs>
          <w:tab w:val="clear" w:pos="708"/>
          <w:tab w:val="left" w:pos="0" w:leader="none"/>
        </w:tabs>
        <w:ind w:hanging="283" w:left="709"/>
        <w:rPr/>
      </w:pPr>
      <w:r>
        <w:rPr/>
        <w:t>wzmacnianie kompetencji wychowawczych rodziców;</w:t>
      </w:r>
    </w:p>
    <w:p>
      <w:pPr>
        <w:pStyle w:val="BodyText"/>
        <w:numPr>
          <w:ilvl w:val="0"/>
          <w:numId w:val="13"/>
        </w:numPr>
        <w:tabs>
          <w:tab w:val="clear" w:pos="708"/>
          <w:tab w:val="left" w:pos="0" w:leader="none"/>
        </w:tabs>
        <w:ind w:hanging="283" w:left="709"/>
        <w:rPr/>
      </w:pPr>
      <w:r>
        <w:rPr/>
        <w:t>zwiększenie liczby działań środowiskowych;</w:t>
      </w:r>
    </w:p>
    <w:p>
      <w:pPr>
        <w:pStyle w:val="BodyText"/>
        <w:numPr>
          <w:ilvl w:val="0"/>
          <w:numId w:val="13"/>
        </w:numPr>
        <w:tabs>
          <w:tab w:val="clear" w:pos="708"/>
          <w:tab w:val="left" w:pos="0" w:leader="none"/>
        </w:tabs>
        <w:ind w:hanging="283" w:left="709"/>
        <w:rPr/>
      </w:pPr>
      <w:r>
        <w:rPr/>
        <w:t>rozwój edukacji dotyczącej bezpieczeństwa w Internecie;</w:t>
      </w:r>
    </w:p>
    <w:p>
      <w:pPr>
        <w:pStyle w:val="BodyText"/>
        <w:numPr>
          <w:ilvl w:val="0"/>
          <w:numId w:val="13"/>
        </w:numPr>
        <w:tabs>
          <w:tab w:val="clear" w:pos="708"/>
          <w:tab w:val="left" w:pos="0" w:leader="none"/>
        </w:tabs>
        <w:ind w:hanging="283" w:left="709"/>
        <w:rPr/>
      </w:pPr>
      <w:r>
        <w:rPr/>
        <w:t>doskonalenie kompetencji specjalistów poprzez szkolenia;</w:t>
      </w:r>
    </w:p>
    <w:p>
      <w:pPr>
        <w:pStyle w:val="BodyText"/>
        <w:numPr>
          <w:ilvl w:val="0"/>
          <w:numId w:val="13"/>
        </w:numPr>
        <w:tabs>
          <w:tab w:val="clear" w:pos="708"/>
          <w:tab w:val="left" w:pos="0" w:leader="none"/>
        </w:tabs>
        <w:ind w:hanging="283" w:left="709"/>
        <w:rPr/>
      </w:pPr>
      <w:r>
        <w:rPr/>
        <w:t>prowadzenie systematycznego monitoringu potrzeb;</w:t>
      </w:r>
    </w:p>
    <w:p>
      <w:pPr>
        <w:pStyle w:val="BodyText"/>
        <w:numPr>
          <w:ilvl w:val="0"/>
          <w:numId w:val="13"/>
        </w:numPr>
        <w:tabs>
          <w:tab w:val="clear" w:pos="708"/>
          <w:tab w:val="left" w:pos="0" w:leader="none"/>
        </w:tabs>
        <w:ind w:hanging="283" w:left="709"/>
        <w:rPr/>
      </w:pPr>
      <w:r>
        <w:rPr/>
        <w:t>coroczną aktualizację diagnozy.</w:t>
      </w:r>
    </w:p>
    <w:p>
      <w:pPr>
        <w:pStyle w:val="Liniapozioma"/>
        <w:rPr/>
      </w:pPr>
      <w:r>
        <w:rPr/>
      </w:r>
    </w:p>
    <w:p>
      <w:pPr>
        <w:pStyle w:val="Heading1"/>
        <w:rPr>
          <w:sz w:val="40"/>
          <w:szCs w:val="40"/>
        </w:rPr>
      </w:pPr>
      <w:r>
        <w:rPr>
          <w:sz w:val="40"/>
          <w:szCs w:val="40"/>
        </w:rPr>
        <w:t>X. WNIOSKI</w:t>
      </w:r>
    </w:p>
    <w:p>
      <w:pPr>
        <w:pStyle w:val="BodyText"/>
        <w:rPr/>
      </w:pPr>
      <w:r>
        <w:rPr/>
        <w:tab/>
        <w:t>Analiza lokalnych potrzeb wskazuje, że Powiat Włoszczowski dysponuje podstawową siecią instytucji zapewniających wsparcie dzieciom, uczniom i rodzinom. Jednocześnie obserwuje się wzrost zapotrzebowania na pomoc psychologiczną, terapeutyczną oraz działania profilaktyczne.</w:t>
      </w:r>
    </w:p>
    <w:p>
      <w:pPr>
        <w:pStyle w:val="BodyText"/>
        <w:rPr/>
      </w:pPr>
      <w:r>
        <w:rPr/>
        <w:t>Kluczowym kierunkiem dalszego rozwoju jest wzmacnianie współpracy pomiędzy sektorem edukacji, ochrony zdrowia, pomocy społecznej, wymiarem sprawiedliwości i organizacjami społecznymi. Pozwoli to na szybsze rozpoznawanie potrzeb, skuteczniejsze planowanie pomocy oraz lepsze wykorzystanie lokalnych zasobów.</w:t>
      </w:r>
    </w:p>
    <w:p>
      <w:pPr>
        <w:pStyle w:val="BodyText"/>
        <w:rPr/>
      </w:pPr>
      <w:r>
        <w:rPr/>
      </w:r>
    </w:p>
    <w:p>
      <w:pPr>
        <w:pStyle w:val="Normal"/>
        <w:widowControl/>
        <w:bidi w:val="0"/>
        <w:spacing w:lineRule="auto" w:line="259" w:before="0" w:after="160"/>
        <w:jc w:val="left"/>
        <w:rPr/>
      </w:pPr>
      <w:r>
        <w:rPr/>
      </w:r>
      <w:bookmarkStart w:id="0" w:name="_GoBack"/>
      <w:bookmarkStart w:id="1" w:name="_GoBack"/>
      <w:bookmarkEnd w:id="1"/>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OpenSymbol">
    <w:altName w:val="Arial Unicode MS"/>
    <w:charset w:val="02"/>
    <w:family w:val="auto"/>
    <w:pitch w:val="default"/>
  </w:font>
  <w:font w:name="Liberation Sans">
    <w:altName w:val="Arial"/>
    <w:charset w:val="ee"/>
    <w:family w:val="swiss"/>
    <w:pitch w:val="variable"/>
  </w:font>
  <w:font w:name="Times New Roman">
    <w:charset w:val="ee"/>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aragraph"/>
      <w:spacing w:beforeAutospacing="0" w:before="0" w:afterAutospacing="0" w:after="0"/>
      <w:ind w:left="-435"/>
      <w:jc w:val="center"/>
      <w:textAlignment w:val="baseline"/>
      <w:rPr>
        <w:rStyle w:val="Normaltextrun"/>
        <w:color w:val="767171"/>
        <w:sz w:val="18"/>
        <w:szCs w:val="18"/>
      </w:rPr>
    </w:pPr>
    <w:r>
      <w:rPr>
        <w:color w:val="767171"/>
        <w:sz w:val="18"/>
        <w:szCs w:val="18"/>
      </w:rPr>
    </w:r>
  </w:p>
  <w:p>
    <w:pPr>
      <w:pStyle w:val="Paragraph"/>
      <w:spacing w:beforeAutospacing="0" w:before="0" w:afterAutospacing="0" w:after="0"/>
      <w:ind w:left="-435"/>
      <w:jc w:val="center"/>
      <w:textAlignment w:val="baseline"/>
      <w:rPr>
        <w:rStyle w:val="Normaltextrun"/>
        <w:rFonts w:ascii="Calibri" w:hAnsi="Calibri" w:cs="Calibri" w:asciiTheme="minorHAnsi" w:cstheme="minorHAnsi" w:hAnsiTheme="minorHAnsi"/>
        <w:color w:val="767171"/>
        <w:sz w:val="16"/>
        <w:szCs w:val="16"/>
      </w:rPr>
    </w:pPr>
    <w:r>
      <w:rPr>
        <w:rStyle w:val="Normaltextrun"/>
        <w:rFonts w:cs="Calibri" w:ascii="Calibri" w:hAnsi="Calibri" w:asciiTheme="minorHAnsi" w:cstheme="minorHAnsi" w:hAnsiTheme="minorHAnsi"/>
        <w:color w:val="767171"/>
        <w:sz w:val="16"/>
        <w:szCs w:val="16"/>
      </w:rPr>
      <w:t>Projekt współfinansowany ze środków Unii Europejskiej  w ramach Programu</w:t>
    </w:r>
    <w:r>
      <w:rPr>
        <w:rStyle w:val="Normaltextrun"/>
        <w:rFonts w:cs="Calibri" w:ascii="Calibri" w:hAnsi="Calibri" w:asciiTheme="minorHAnsi" w:cstheme="minorHAnsi" w:hAnsiTheme="minorHAnsi"/>
        <w:sz w:val="16"/>
        <w:szCs w:val="16"/>
      </w:rPr>
      <w:t xml:space="preserve"> </w:t>
    </w:r>
    <w:r>
      <w:rPr>
        <w:rStyle w:val="Normaltextrun"/>
        <w:rFonts w:cs="Calibri" w:ascii="Calibri" w:hAnsi="Calibri" w:asciiTheme="minorHAnsi" w:cstheme="minorHAnsi" w:hAnsiTheme="minorHAnsi"/>
        <w:color w:val="767171"/>
        <w:sz w:val="16"/>
        <w:szCs w:val="16"/>
      </w:rPr>
      <w:t>Fundusze Europejskie dla Rozwoju Społecznego 2021-2027</w:t>
    </w:r>
  </w:p>
  <w:p>
    <w:pPr>
      <w:pStyle w:val="Paragraph"/>
      <w:spacing w:beforeAutospacing="0" w:before="0" w:afterAutospacing="0" w:after="0"/>
      <w:ind w:left="-435"/>
      <w:jc w:val="center"/>
      <w:textAlignment w:val="baseline"/>
      <w:rPr>
        <w:rStyle w:val="Normaltextrun"/>
        <w:rFonts w:ascii="Calibri" w:hAnsi="Calibri" w:cs="Calibri" w:asciiTheme="minorHAnsi" w:cstheme="minorHAnsi" w:hAnsiTheme="minorHAnsi"/>
        <w:color w:val="767171"/>
        <w:sz w:val="16"/>
        <w:szCs w:val="16"/>
      </w:rPr>
    </w:pPr>
    <w:r>
      <w:rPr>
        <w:rStyle w:val="Normaltextrun"/>
        <w:rFonts w:cs="Calibri" w:ascii="Calibri" w:hAnsi="Calibri" w:asciiTheme="minorHAnsi" w:cstheme="minorHAnsi" w:hAnsiTheme="minorHAnsi"/>
        <w:color w:val="767171"/>
        <w:sz w:val="16"/>
        <w:szCs w:val="16"/>
      </w:rPr>
      <w:t>Priorytet FERS.01 Umiejętności; Działanie 01.06 Edukacja włączająca</w:t>
    </w:r>
  </w:p>
  <w:p>
    <w:pPr>
      <w:pStyle w:val="Paragraph"/>
      <w:spacing w:beforeAutospacing="0" w:before="0" w:afterAutospacing="0" w:after="0"/>
      <w:ind w:left="-435"/>
      <w:jc w:val="center"/>
      <w:textAlignment w:val="baseline"/>
      <w:rPr>
        <w:rStyle w:val="Normaltextrun"/>
        <w:rFonts w:ascii="Calibri" w:hAnsi="Calibri" w:cs="Calibri" w:asciiTheme="minorHAnsi" w:cstheme="minorHAnsi" w:hAnsiTheme="minorHAnsi"/>
        <w:b/>
        <w:bCs/>
        <w:color w:val="767171"/>
        <w:sz w:val="16"/>
        <w:szCs w:val="16"/>
      </w:rPr>
    </w:pPr>
    <w:r>
      <w:rPr>
        <w:rStyle w:val="Normaltextrun"/>
        <w:rFonts w:cs="Calibri" w:ascii="Calibri" w:hAnsi="Calibri" w:asciiTheme="minorHAnsi" w:cstheme="minorHAnsi" w:hAnsiTheme="minorHAnsi"/>
        <w:color w:val="767171"/>
        <w:sz w:val="16"/>
        <w:szCs w:val="16"/>
      </w:rPr>
      <w:t>Umowa o dofinansowanie nr </w:t>
    </w:r>
    <w:r>
      <w:rPr>
        <w:rStyle w:val="Normaltextrun"/>
        <w:rFonts w:cs="Calibri" w:ascii="Calibri" w:hAnsi="Calibri" w:asciiTheme="minorHAnsi" w:cstheme="minorHAnsi" w:hAnsiTheme="minorHAnsi"/>
        <w:b/>
        <w:bCs/>
        <w:color w:val="767171"/>
        <w:sz w:val="16"/>
        <w:szCs w:val="16"/>
      </w:rPr>
      <w:t>FERS.01.06-IP.05-0017/24</w:t>
    </w:r>
  </w:p>
  <w:p>
    <w:pPr>
      <w:pStyle w:val="Paragraph"/>
      <w:spacing w:beforeAutospacing="0" w:before="0" w:afterAutospacing="0" w:after="0"/>
      <w:ind w:left="-435"/>
      <w:jc w:val="center"/>
      <w:textAlignment w:val="baseline"/>
      <w:rPr>
        <w:rStyle w:val="Normaltextrun"/>
        <w:rFonts w:ascii="Calibri" w:hAnsi="Calibri" w:cs="Calibri"/>
        <w:color w:val="767171"/>
        <w:sz w:val="16"/>
        <w:szCs w:val="16"/>
      </w:rPr>
    </w:pPr>
    <w:r>
      <w:rPr>
        <w:rStyle w:val="Normaltextrun"/>
        <w:rFonts w:cs="Calibri" w:ascii="Calibri" w:hAnsi="Calibri"/>
        <w:color w:val="767171"/>
        <w:sz w:val="16"/>
        <w:szCs w:val="16"/>
      </w:rPr>
      <w:t xml:space="preserve">Uniwersytet Śląski w Katowicach, ul. Bankowa 11,  40-007  Katowice,  </w:t>
    </w:r>
    <w:hyperlink r:id="rId1">
      <w:r>
        <w:rPr>
          <w:rStyle w:val="Normaltextrun"/>
          <w:rFonts w:cs="Calibri" w:ascii="Calibri" w:hAnsi="Calibri"/>
          <w:color w:val="767171"/>
          <w:sz w:val="16"/>
          <w:szCs w:val="16"/>
        </w:rPr>
        <w:t>http://www.us.edu.pl</w:t>
      </w:r>
    </w:hyperlink>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b/>
        <w:bCs/>
      </w:rPr>
    </w:pPr>
    <w:r>
      <w:rPr/>
      <w:drawing>
        <wp:inline distT="0" distB="0" distL="0" distR="0">
          <wp:extent cx="5184140" cy="715645"/>
          <wp:effectExtent l="0" t="0" r="0" b="0"/>
          <wp:docPr id="1" name="Obraz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59" descr=""/>
                  <pic:cNvPicPr>
                    <a:picLocks noChangeAspect="1" noChangeArrowheads="1"/>
                  </pic:cNvPicPr>
                </pic:nvPicPr>
                <pic:blipFill>
                  <a:blip r:embed="rId1"/>
                  <a:stretch>
                    <a:fillRect/>
                  </a:stretch>
                </pic:blipFill>
                <pic:spPr bwMode="auto">
                  <a:xfrm>
                    <a:off x="0" y="0"/>
                    <a:ext cx="5184140" cy="715645"/>
                  </a:xfrm>
                  <a:prstGeom prst="rect">
                    <a:avLst/>
                  </a:prstGeom>
                </pic:spPr>
              </pic:pic>
            </a:graphicData>
          </a:graphic>
        </wp:inline>
      </w:drawing>
    </w:r>
  </w:p>
  <w:p>
    <w:pPr>
      <w:pStyle w:val="Header"/>
      <w:rPr>
        <w:b/>
        <w:bCs/>
      </w:rPr>
    </w:pPr>
    <w:r>
      <w:rPr>
        <w:b/>
        <w:bCs/>
      </w:rPr>
    </w:r>
  </w:p>
  <w:p>
    <w:pPr>
      <w:pStyle w:val="Paragraph"/>
      <w:spacing w:beforeAutospacing="0" w:before="0" w:afterAutospacing="0" w:after="0"/>
      <w:ind w:left="-435"/>
      <w:jc w:val="center"/>
      <w:textAlignment w:val="baseline"/>
      <w:rPr>
        <w:rStyle w:val="Normaltextrun"/>
        <w:color w:val="767171"/>
        <w:sz w:val="18"/>
        <w:szCs w:val="18"/>
      </w:rPr>
    </w:pPr>
    <w:r>
      <w:rPr>
        <w:rStyle w:val="Normaltextrun"/>
        <w:color w:val="767171"/>
        <w:sz w:val="18"/>
        <w:szCs w:val="18"/>
      </w:rPr>
      <w:t>Projekt „Perspektywa 3P dla województwa świętokrzyskiego”</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4">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paragraph" w:styleId="Heading1">
    <w:name w:val="Heading 1"/>
    <w:basedOn w:val="Nagwek"/>
    <w:next w:val="BodyText"/>
    <w:qFormat/>
    <w:pPr>
      <w:spacing w:before="240" w:after="120"/>
      <w:outlineLvl w:val="0"/>
    </w:pPr>
    <w:rPr>
      <w:rFonts w:ascii="Liberation Serif" w:hAnsi="Liberation Serif" w:eastAsia="Segoe UI" w:cs="Tahoma"/>
      <w:b/>
      <w:bCs/>
      <w:sz w:val="48"/>
      <w:szCs w:val="48"/>
    </w:rPr>
  </w:style>
  <w:style w:type="paragraph" w:styleId="Heading2">
    <w:name w:val="Heading 2"/>
    <w:basedOn w:val="Nagwek"/>
    <w:next w:val="BodyText"/>
    <w:qFormat/>
    <w:pPr>
      <w:spacing w:before="200" w:after="120"/>
      <w:outlineLvl w:val="1"/>
    </w:pPr>
    <w:rPr>
      <w:rFonts w:ascii="Liberation Serif" w:hAnsi="Liberation Serif" w:eastAsia="Segoe UI" w:cs="Tahoma"/>
      <w:b/>
      <w:bCs/>
      <w:sz w:val="36"/>
      <w:szCs w:val="36"/>
    </w:rPr>
  </w:style>
  <w:style w:type="paragraph" w:styleId="Heading3">
    <w:name w:val="Heading 3"/>
    <w:basedOn w:val="Nagwek"/>
    <w:next w:val="BodyText"/>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2e1cce"/>
    <w:rPr/>
  </w:style>
  <w:style w:type="character" w:styleId="StopkaZnak" w:customStyle="1">
    <w:name w:val="Stopka Znak"/>
    <w:basedOn w:val="DefaultParagraphFont"/>
    <w:uiPriority w:val="99"/>
    <w:qFormat/>
    <w:rsid w:val="002e1cce"/>
    <w:rPr/>
  </w:style>
  <w:style w:type="character" w:styleId="Normaltextrun" w:customStyle="1">
    <w:name w:val="normaltextrun"/>
    <w:basedOn w:val="DefaultParagraphFont"/>
    <w:qFormat/>
    <w:rsid w:val="002e1cce"/>
    <w:rPr/>
  </w:style>
  <w:style w:type="character" w:styleId="Eop" w:customStyle="1">
    <w:name w:val="eop"/>
    <w:basedOn w:val="DefaultParagraphFont"/>
    <w:qFormat/>
    <w:rsid w:val="002e1cce"/>
    <w:rPr/>
  </w:style>
  <w:style w:type="character" w:styleId="Hyperlink">
    <w:name w:val="Hyperlink"/>
    <w:uiPriority w:val="99"/>
    <w:unhideWhenUsed/>
    <w:rsid w:val="000c2ce5"/>
    <w:rPr>
      <w:color w:val="0000FF"/>
      <w:u w:val="single"/>
    </w:rPr>
  </w:style>
  <w:style w:type="character" w:styleId="Znakiwypunktowania">
    <w:name w:val="Znaki wypunktowania"/>
    <w:qFormat/>
    <w:rPr>
      <w:rFonts w:ascii="OpenSymbol" w:hAnsi="OpenSymbol" w:eastAsia="OpenSymbol" w:cs="OpenSymbol"/>
    </w:rPr>
  </w:style>
  <w:style w:type="character" w:styleId="Znakinumeracji">
    <w:name w:val="Znaki numeracji"/>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rPr/>
  </w:style>
  <w:style w:type="paragraph" w:styleId="Header">
    <w:name w:val="Header"/>
    <w:basedOn w:val="Normal"/>
    <w:link w:val="NagwekZnak"/>
    <w:uiPriority w:val="99"/>
    <w:unhideWhenUsed/>
    <w:rsid w:val="002e1cce"/>
    <w:pPr>
      <w:tabs>
        <w:tab w:val="clear" w:pos="708"/>
        <w:tab w:val="center" w:pos="4536" w:leader="none"/>
        <w:tab w:val="right" w:pos="9072" w:leader="none"/>
      </w:tabs>
      <w:spacing w:lineRule="auto" w:line="240" w:before="0" w:after="0"/>
    </w:pPr>
    <w:rPr/>
  </w:style>
  <w:style w:type="paragraph" w:styleId="Footer">
    <w:name w:val="Footer"/>
    <w:basedOn w:val="Normal"/>
    <w:link w:val="StopkaZnak"/>
    <w:uiPriority w:val="99"/>
    <w:unhideWhenUsed/>
    <w:rsid w:val="002e1cce"/>
    <w:pPr>
      <w:tabs>
        <w:tab w:val="clear" w:pos="708"/>
        <w:tab w:val="center" w:pos="4536" w:leader="none"/>
        <w:tab w:val="right" w:pos="9072" w:leader="none"/>
      </w:tabs>
      <w:spacing w:lineRule="auto" w:line="240" w:before="0" w:after="0"/>
    </w:pPr>
    <w:rPr/>
  </w:style>
  <w:style w:type="paragraph" w:styleId="Paragraph" w:customStyle="1">
    <w:name w:val="paragraph"/>
    <w:basedOn w:val="Normal"/>
    <w:qFormat/>
    <w:rsid w:val="002e1cce"/>
    <w:pPr>
      <w:spacing w:lineRule="auto" w:line="240" w:beforeAutospacing="1" w:afterAutospacing="1"/>
    </w:pPr>
    <w:rPr>
      <w:rFonts w:ascii="Times New Roman" w:hAnsi="Times New Roman" w:eastAsia="Times New Roman" w:cs="Times New Roman"/>
      <w:sz w:val="24"/>
      <w:szCs w:val="24"/>
      <w:lang w:eastAsia="pl-PL"/>
    </w:rPr>
  </w:style>
  <w:style w:type="paragraph" w:styleId="Liniapozioma">
    <w:name w:val="Linia pozioma"/>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_rels/footer1.xml.rels><?xml version="1.0" encoding="UTF-8"?>
<Relationships xmlns="http://schemas.openxmlformats.org/package/2006/relationships"><Relationship Id="rId1" Type="http://schemas.openxmlformats.org/officeDocument/2006/relationships/hyperlink" Target="http://www.us.edu.pl/" TargetMode="Externa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A7714B8E4721043A535405745B9FCA4" ma:contentTypeVersion="10" ma:contentTypeDescription="Utwórz nowy dokument." ma:contentTypeScope="" ma:versionID="21c6277f564ad4b161a71a1e003d7849">
  <xsd:schema xmlns:xsd="http://www.w3.org/2001/XMLSchema" xmlns:xs="http://www.w3.org/2001/XMLSchema" xmlns:p="http://schemas.microsoft.com/office/2006/metadata/properties" xmlns:ns2="68fa79af-49c9-4951-b1a0-4eca2d5398df" xmlns:ns3="9e442b2c-a9ee-44c5-809f-6cafd1ee452d" targetNamespace="http://schemas.microsoft.com/office/2006/metadata/properties" ma:root="true" ma:fieldsID="8012ef195162f2535b4f029ee9a9be6d" ns2:_="" ns3:_="">
    <xsd:import namespace="68fa79af-49c9-4951-b1a0-4eca2d5398df"/>
    <xsd:import namespace="9e442b2c-a9ee-44c5-809f-6cafd1ee45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a79af-49c9-4951-b1a0-4eca2d539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b0ad5e2-dd37-4b24-9842-044369a8daf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42b2c-a9ee-44c5-809f-6cafd1ee45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0682eb-c7bf-41cf-8ccf-bd9876e57bf3}" ma:internalName="TaxCatchAll" ma:showField="CatchAllData" ma:web="9e442b2c-a9ee-44c5-809f-6cafd1ee45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fa79af-49c9-4951-b1a0-4eca2d5398df">
      <Terms xmlns="http://schemas.microsoft.com/office/infopath/2007/PartnerControls"/>
    </lcf76f155ced4ddcb4097134ff3c332f>
    <TaxCatchAll xmlns="9e442b2c-a9ee-44c5-809f-6cafd1ee452d" xsi:nil="true"/>
  </documentManagement>
</p:properties>
</file>

<file path=customXml/itemProps1.xml><?xml version="1.0" encoding="utf-8"?>
<ds:datastoreItem xmlns:ds="http://schemas.openxmlformats.org/officeDocument/2006/customXml" ds:itemID="{444BED69-FFAA-439E-B94E-5FEF62FE7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a79af-49c9-4951-b1a0-4eca2d5398df"/>
    <ds:schemaRef ds:uri="9e442b2c-a9ee-44c5-809f-6cafd1ee45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1DFE5-2A34-4D43-96FC-BD5B8C9A553F}">
  <ds:schemaRefs>
    <ds:schemaRef ds:uri="http://schemas.microsoft.com/sharepoint/v3/contenttype/forms"/>
  </ds:schemaRefs>
</ds:datastoreItem>
</file>

<file path=customXml/itemProps3.xml><?xml version="1.0" encoding="utf-8"?>
<ds:datastoreItem xmlns:ds="http://schemas.openxmlformats.org/officeDocument/2006/customXml" ds:itemID="{EC6FD372-F04C-40B9-8738-59E027E077E8}">
  <ds:schemaRefs>
    <ds:schemaRef ds:uri="http://schemas.microsoft.com/office/2006/metadata/properties"/>
    <ds:schemaRef ds:uri="http://schemas.microsoft.com/office/infopath/2007/PartnerControls"/>
    <ds:schemaRef ds:uri="68fa79af-49c9-4951-b1a0-4eca2d5398df"/>
    <ds:schemaRef ds:uri="9e442b2c-a9ee-44c5-809f-6cafd1ee452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LibreOffice/7.6.2.1$Windows_X86_64 LibreOffice_project/56f7684011345957bbf33a7ee678afaf4d2ba333</Application>
  <AppVersion>15.0000</AppVersion>
  <Pages>6</Pages>
  <Words>742</Words>
  <Characters>5679</Characters>
  <CharactersWithSpaces>6228</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2026-03-27T10:01:00Z</dcterms:created>
  <dc:creator>Maria Górska</dc:creator>
  <dc:description/>
  <dc:language>pl-PL</dc:language>
  <cp:lastModifiedBy/>
  <cp:lastPrinted>2026-07-08T14:16:16Z</cp:lastPrinted>
  <dcterms:modified xsi:type="dcterms:W3CDTF">2026-07-08T14:17:22Z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0x0101006A7714B8E4721043A535405745B9FCA4</vt:lpwstr>
  </property>
</Properties>
</file>