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ANALIZA STANU GOSPODARKI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ODPADAMI KOMUNALNYMI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GMINY OLSZANKA</w:t>
      </w:r>
    </w:p>
    <w:p>
      <w:pPr>
        <w:pStyle w:val="Standard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ZA ROK 2021</w:t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/>
      </w:pPr>
      <w:r>
        <w:rPr/>
        <w:object>
          <v:shape id="ole_rId2" style="width:333.7pt;height:294.9pt" o:ole="">
            <v:imagedata r:id="rId3" o:title=""/>
          </v:shape>
          <o:OLEObject Type="Embed" ProgID="Unknown" ShapeID="ole_rId2" DrawAspect="Content" ObjectID="_305088089" r:id="rId2"/>
        </w:objec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280" w:after="28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>Olszanka, kwiecień 2022 r.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1. Wprowadzenie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Niniejszy dokument  stanowi roczną analizę stanu gospodarki odpadami komunalnymi na terenie Gminy Olszanka przygotowaną w celu realizacji obowiązków nałożonych na gminy przez obowiązujące w Polsce prawo w zakresie gospodarki odpadami.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Podstawę do przeprowadzenia „ Analizy stanu gospodarki odpadami komunalnymi Gminy Olszanka za 2021”, stanowią zapisy ustawy z dnia 13 września 1996 r. o utrzymaniu czystości i porządku w gminach (Dz. U. z 2021 r., poz. 888 z późn. zm.)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Na podstawie art. 3 ust. 2 pkt 10 ustawy z dnia 13 września 1996 r. o utrzymaniu czystości i porządku w gminach  (Dz. U. z 2021 r., poz. 888 z późn. zm.), gminy zapewniają czystość i porządek na swoim terenie i tworzą warunki niezbędne do ich utrzymania, a w szczególności dokonują analizy stanu gospodarki odpadami komunalnymi, w celu weryfikacji możliwości technicznych i organizacyjnych gminy w zakresie gospodarowania odpadami komunalnymi.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Zakres przedmiotowej analizy został określony w art. 9tb ustawy z dnia 13 września 1996 r. o utrzymaniu czystości i porządku w gminach (Dz. U. z 2021 r., poz. 888 z późn. zm.) i obejmuje: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2) potrzeby inwestycyjne związane z gospodarowaniem odpadami komunalnymi;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3) koszty poniesione w związku z odbieraniem, odzyskiem, recyklingiem i unieszkodliwianiem odpadów komunalnych w podziale na wpływy, wydatki i nadwyżki z opłat za gospodarowanie odpadami komunalnymi;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4) liczbę mieszkańców;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5) liczbę właścicieli nieruchomości, którzy nie zawarli umowy, o której mowa w art. 6 ust. 1, w imieniu których gmina powinna podjąć działania, o których mowa w art. 6 ust. 6–12;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6) ilość odpadów komunalnych wytwarzanych na terenie gminy;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7) ilość niesegregowanych (zmieszanych) odpadów komunalnych i bioodpadów stanowiących </w:t>
        <w:tab/>
        <w:t xml:space="preserve">odpady komunalne, odbieranych z terenu gminy oraz przeznaczonych do składowania </w:t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pozostałości z sortowania odpadów komunalnych i pozostałości z procesu mechaniczno-</w:t>
        <w:tab/>
        <w:t>biologicznego przetwarzania niesegregowanych (zmieszanych) odpadów komunalnych;</w:t>
      </w:r>
    </w:p>
    <w:p>
      <w:pPr>
        <w:pStyle w:val="Standard"/>
        <w:rPr/>
      </w:pPr>
      <w:r>
        <w:rPr/>
        <w:t xml:space="preserve">    </w:t>
      </w:r>
      <w:r>
        <w:rPr/>
        <w:t xml:space="preserve">8) uzyskane poziomy przygotowania do ponownego użycia i recyklingu odpadów </w:t>
        <w:tab/>
        <w:t>komunalnych;</w:t>
      </w:r>
    </w:p>
    <w:p>
      <w:pPr>
        <w:pStyle w:val="Standard"/>
        <w:rPr/>
      </w:pPr>
      <w:r>
        <w:rPr/>
        <w:t xml:space="preserve">    </w:t>
      </w:r>
      <w:r>
        <w:rPr/>
        <w:t xml:space="preserve">9) masę odpadów komunalnych wytworzonych na terenie gminy przekazanych do termicznego  </w:t>
        <w:tab/>
        <w:t xml:space="preserve">przekształcania oraz stosunek masy odpadów komunalnych przekazanych do termicznego </w:t>
        <w:tab/>
        <w:t>przekształcania do masy odpadów komunalnych wytworzonych na terenie gminy.</w:t>
      </w:r>
    </w:p>
    <w:p>
      <w:pPr>
        <w:pStyle w:val="Standard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Analizę stanu gospodarki odpadami komunalnymi sporządza się w terminie do dnia 30 kwietnia za poprzedni rok kalendarzowy. Analiza stanu gospodarki odpadami komunalnymi podlega publicznemu udostępnieniu na stronie podmiotowej Biuletynu Informacji Publicznej urzędu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analizy wykorzystano dostępne materiały związane z prowadzeniem sytemu gospodarowania odpadami komunalnymi, a także inne dostępne dokumenty i opracowania dotyczące zagospodarowania odpadów.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Niniejsza analiza ma dostarczyć niezbędnych informacji dla stworzenia efektywnego systemu gospodarowania odpadami komunalnymi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2. Ogólna charakterystyka systemu gospodarowania odpadami komunalnymi na terenie Gminy Olszanka</w: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analizowanym roku odbiór i zagospodarowanie  odpadów z nieruchomości objętych systemem, realizowany był przez Remondis Opole Sp. z o. o., ul. Al. Przyjaźni 9; 45-753 Opole.  Systemem gospodarowania odpadami komunalnymi na terenie Gminy Olszanka nadal nie zostali objęci właściciele nieruchomości niezamieszkałych. Właściciele tych nieruchomości usuwali zebrane odpady oraz nieczystości ciekłe w sposób określony przepisami ustawy z dnia 13 września 1996 r. o utrzymaniu czystości i porządku w gminach (Dz. U. z 2021 r., poz. 888 z późn. zm.) i przepisami odrębnymi. We własnym zakresie podpisywali umowy indywidualne, z jednym z przedsiębiorców wpisanym do rejestru działalności regulowanej prowadzonym przez Wójta Gminy Olszanka. Przedsiębiorcy  odbierający odpady od właścicieli nieruchomości muszą uzyskać wpis do rejestru działalności regulowanej w zakresie odbierania odpadów komunalnych od właścicieli nieruchomości. W roku 2021 uprawnionych do świadczenia usług w zakresie odbierania odpadów komunalnych od właścicieli nieruchomości było </w:t>
      </w:r>
      <w:r>
        <w:rPr>
          <w:rFonts w:eastAsia="Times New Roman" w:cs="Times New Roman" w:ascii="Times New Roman" w:hAnsi="Times New Roman"/>
        </w:rPr>
        <w:t>7 podmiotów (Tabela 1), natomiast w zakresie  opróżniania zbiorników bezodpływowych i transportu nieczystości ciekłych z terenu gminy 3 podmioty (Tabela 2).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1. Wykaz przedsiębiorców świadczących usługi w zakresie odbierania odpadów komunalnych od właścicieli nieruchomości Gminy Olszanka</w:t>
      </w:r>
    </w:p>
    <w:p>
      <w:pPr>
        <w:pStyle w:val="Standard"/>
        <w:ind w:firstLine="709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63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736"/>
        <w:gridCol w:w="1183"/>
        <w:gridCol w:w="1421"/>
        <w:gridCol w:w="1541"/>
        <w:gridCol w:w="1748"/>
        <w:gridCol w:w="3008"/>
      </w:tblGrid>
      <w:tr>
        <w:trPr>
          <w:trHeight w:val="1871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Numer reje-strowy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</w:rPr>
              <w:t>Data dokonania wpisu do rejestru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NIP/REGON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 xml:space="preserve">Nazwa 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przedsiębiorstwa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Adres przedsiębiorstwa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Rodzaje odbieranych odpadów komunalnych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1/2012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08.06.2012 r</w:t>
            </w:r>
            <w:r>
              <w:rPr>
                <w:rFonts w:eastAsia="Times New Roman" w:cs="Times New Roman" w:ascii="Times New Roman" w:hAnsi="Times New Roman"/>
                <w:color w:val="CE181E"/>
                <w:sz w:val="20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754 033 34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530590474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Remondis Opole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o.o.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Al. Przyjaźni 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45-753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 150102,150103, 150104,150105, 150106,150107,170101,170102,200101,200102,200108,200110,200111,200113,200114,200115,200117,200119,200121*,200123*,200125,200126,200127,200128,200129,200130,200131,200132,200133,200134,200135*,200136,200137,200138,200139,200140,200141,200180,200199,200201,200202,200203,200301,200302 ,200303,200304, 200306, 200307, 200399</w:t>
            </w:r>
          </w:p>
        </w:tc>
      </w:tr>
      <w:tr>
        <w:trPr>
          <w:trHeight w:val="1269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3/2012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1C1C1C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0"/>
              </w:rPr>
              <w:t>26.09.2012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754 135 19 21/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531124805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Komunalny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o.o. w Opolu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Podmiejska 69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45-574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150101,150102,150103,150104,150105,150106,150107,150109,200101,200102,200108,200110,200111,200134,200136,200138,200139,200140,200141,200180,200199,200201,200202,200203,200301,200302,200303,200304,200306,200307,200399</w:t>
            </w:r>
          </w:p>
        </w:tc>
      </w:tr>
      <w:tr>
        <w:trPr>
          <w:trHeight w:val="118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4/2012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08.11.2012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747 050 05 83/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530589347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Higieny Komunalnej Sp. z o.o. w Brzegu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Saperska 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49-300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200101,200102,200108,200110,200111,200113*,200114*,200115*,200117*,200119*,200121*,200123*,200125,200126*,200127*,200128,200129*,200130,200131*,200132,200133*,200134,200135*,200136,200137*,200138,200139,200140,200141,200180,200199,200201,200202,200203,200301,200302, 200303,200304,200306,200307,200399,010101,010102,010180,010306,010308,010309,010381,010399,010408,010409,010410,010411,010412,010413,010481,010483,010485,010499,010504010507,010508,010599,020101,020102,020103,020104,020106,020107,020109,020110,020181,020182,020183,020199,020201,020202,020203,020204,020281,020282,020299,020301,020302,020303,020304,020305,020380,020381,020382,020399,020401,020402,020403,020480,020499,020501,020502,020580,020599,020601,020602,020603,020680,020699,020701,020702,020703,020704,020705,020780,020799,030101,030105,030181,030182,030199,030299,030301,030302,030305,030307,030308,030309,030310,030311,030380,030381,030399,040101040102,040104,040105,040106,040107,040108,040109,040199,040209,040210,040215,040217,040220,040221,040222,040280,040299,050110,050113,050114,050116,050117,050199,050604,050699,050702,050799,060199,060299,060314,060316,060399,060499,060503,060603,060699,060799,060899,060902,060904,060980,060981,060999,061099,061101,061180,061181,061182,061183,061199,031303,061399,070112,070180,070199,070212,070213,070215,070217,070280,070299,070312,070399,070412,070481,070499,070512,070514,070581,070599,070612,070680,070681,070699,070712,070799,080112,080114,080116,080118,080120,080199,080201,080202,080203,080299,080307,080308,080313,080315,080318,080380,080399,080410,080412,080414,080416,080499,090107,090108,090110,090112,090199,100101,100102,100103,100105,100107,100115,100117,100119,100121,100123,100124,100125,100126,100180,100181,100182,100199,100201,100202,100208,100210,100212,100214,100215,100280,100281,100299,100302,100305,100316,100318,100320,100322,100324,100326,100328,100330,100399,100410,100499,100501,100504,100509,100511,100580,100599100601,100602,100604,100610,100680,100699,100701,100702,100703,100704,100705,100708,100799,100804,100809,100811,100813,100814,100816,100818,100820,100899,100903,100906,100908,100910,100912,100914,100916,100980,100999,101003,101006,101008,101010,101012,101014,101016,101099,101103,101105,101110,101112,101114,101116,101118,101120,101180,101199,101201,101203,101205,101206,101208,101210,101212,101213,101299,101301,101304,101306,101307,101310,101311,101313,101314,101380,101381,101382,101399,108001,108002,108003,108004,108005,108006,108099,110110,110112,110114,110199,110203,110206,110299,110501,110502,110599,120101,120102,120103,120104,120105,120113,120115,120117,120121,120199,130880,150101,150102,150103,150104,150105,150106,150107,150109,150203,160103,160106,160112,160115,160116,160117,160118,160119,160120,160122,160199,160214,160216,160304,160304,160306,160380,160505,150509,160604,160605,160799,160801,160803,160804,161002,161004,161102,161104,161106,168001,168102,168202,1701001,170102,170103,170107,170180,170181,170182,170201,170202,170203,170302,170380,170401,170402,170403,170404,170405,170406,170407,170411,170504,170506,170508,170604,170802,170904,180101,180104,180107,180109,180181,180201,180203,180206,180208,190102,190112,190114,190116,190118,190119,190199,190203,190206,190210,190299,190305,190307,190401,190404,190501,190502,190503,190599,190603,190604,160605,190606,190699,190801,190802,190805,190809,190812,190814,190899,190901,190902,190903,190904,190905,190906,190999,191001,191002,191004,191006,191106,191199,191201,191202,191203,191204,191205,191207,191208,191209,191210,191212,191302,191304,191306,191308,198001,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1/2014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21.03.2014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573 106 75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150628080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Zakład Oczyszczania Miasta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Zbigniew Strach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Korzonek 98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42-274 Konopiska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200136,200137*,200138,200139,200140,200141,200180,200199,200201,200202,200203,200301,200302,200303,200304,200306,200307,200399,150101,150102,150103,150104,150105,1501006,150107,150109,150110*,150111*,160103,170101,170102,170103,170107,170180,170201,170202,170203,170302,170380,170401,170402,170403,170404,170405,170406,170407,170411,170508,170604,170802,170904,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2/2014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20.08.2014 r.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755 184 56 13/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532468984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P.H.U. Komunalnik Sp. z o.o.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Św. Jerzego 1a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50-518 Wrocław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200103,200104,200107,030101,030105,030301,030307,030308,040209,040215,040221,040222,070213,070280,080318,100101,100105,100115,100180,100903,120105,130208*,150109,150110*,150111*,150203,160103,160119,160122,160213*,160214,168001,170103,170107,170180,170181,170201,170202,170203,170380,170504,170506,170508,170904,191201,191202,191203,191204,191205,191207,191208,1912,09,191210, 191212.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1/2019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24.04.2019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747 100 28 12/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530977888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Przedsiębiorstwo Usługowo-Handlowe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WIRGA”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ul. 1 Maja 7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49-305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150101,150102,150103,150104,150105,150106,150107,150109,150110*,150111*,170101,170102,170103,170107,170180,170182,170201,170202,170203,170380,170401,170402,170403,170404,170405,170406,170407,170409*,170410*,170411,170504,170604,170802,170904,200101,200102,200108,200110,200111,200113*,200114*,200115*,200117*,200119*,200121*,200123*,200125,200126*,200127*,200128,200129,200130,200131*,200132,200133*,200134,200135*,200136,200137*,200138,200139,200140,200141,200180,200199,200201,200202,200203,200301,200302,200303,200304,200306,200307,200399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1/2020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05.05.2020 r.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912 18 97 577/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366411538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AURI-EKO Sp. z o.o.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ul. Radosna 9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55-200 Oława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15 01 01, 15 01 02,15 01 03,15 01 04,15 01 05,15 01 06,15 01 07, 15 01 09,15 01 10,15 01 11, 17 01 01,17 01 02,17 01 03,17 01 07,17 01 80,17 01 82, 17 02 01, 17 02 02, 17 02 03, 17 03 80, 17 04 01, 17 04 02,17 04 03,17 04 04,17 04 05, 17 04 06,17 04 07,17 04 09*,17 04 10*, 17 04 11,17 05 04,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20 01 99, 20 02 01, 20 02 02, 20 02 03, 20 03 01, 20 03 02, 20 03 03, 20 03 04, 20 03 06, 20 03 07, 20 03 99.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2.  Wykaz przedsiębiorców posiadających zezwolenie na opróżnienie zbiorników bezodpływowych i transport nieczystości ciekłych z terenu Gminy Olszanka.</w: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778" w:type="dxa"/>
        <w:jc w:val="left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2410"/>
        <w:gridCol w:w="2126"/>
        <w:gridCol w:w="4282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Nazwa przedsiębiorcy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Adres przedsiębiorcy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Numer zezwolenia na prowadzenie działalności</w:t>
            </w:r>
          </w:p>
        </w:tc>
      </w:tr>
      <w:tr>
        <w:trPr>
          <w:trHeight w:val="111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Zakład Gospodarki Komunalnej w Czeskiej Wsi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Czeska Wieś 61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49-332 Olszanka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Zgodnie z art. 7 ust. 5 ustawy z dnia 13 września 1996 r. o utrzymaniu czystości i porządku w gminach (Dz. U. z 2020 r., poz. 1439) – nie dotyczy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FEB-EKO Sp. z o.o.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Spółdzielcza 21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55-200 </w:t>
            </w:r>
            <w:r>
              <w:rPr>
                <w:rFonts w:eastAsia="Times New Roman" w:cs="Times New Roman" w:ascii="Times New Roman" w:hAnsi="Times New Roman"/>
                <w:sz w:val="22"/>
              </w:rPr>
              <w:t>Godzikowice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DDS 6233/7/7/2013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Zmieniona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6232.2.2016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Toi Toi Polska Sp. z o.o.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ul. Płochocińska 29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03-044 Warszawa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6232.1.17</w:t>
            </w:r>
          </w:p>
        </w:tc>
      </w:tr>
    </w:tbl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komunalne, które podlegały segregacji w roku 2021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1) papier i makulatura,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2) tworzywa sztuczne i odpady opakowaniowe wielomateriałowe, w tym metal,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3) szkło,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4) bioodpady,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5) zużyty sprzęt elektryczny i elektroniczny,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6) zużyte baterie i akumulatory,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7) meble i inne odpady wielkogabarytowe,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8) odpady budowlane i rozbiórkowe stanowiące odpady komunalne,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9) przeterminowane leki i chemikalia,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10) zużyte opony stanowiące odpady komunalne,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11) niesegregowane (zmieszane) odpady komunalne.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Odpady, o których mowa powyżej, właściciele nieruchomości obowiązani byli zbierać i gromadzić w terminie niezwłocznym od chwili ich powstania w pojemnikach lub kontenerach, workach wyłącznie do tego celu przeznaczonych i odpowiednio oznaczonych, o ujednoliconych kolorach: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 kolorze zielonym - do zbiórki szkła;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w kolorze niebieskim -  do zbiórki papieru i tektury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w kolorze brązowym - do zbiórki odpadów ulegających biodegradacji,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w kolorze żółtym wyłącznie pojemniki - do zbiórki tworzyw sztucznych, odpady opakowaniowe wielomateriałowe, metale;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5) w kolorze czarnym wyłącznie pojemniki – do zbiórki niesegregowanych (zmieszanych) odpadów komunalnych.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Zgodnie z wymogami ustawy z dnia 13 września 1996 r. o utrzymaniu czystości i porządku w gminach (Dz. U. z 2021 r., poz. 888 z późn. zm.)  art. 3 ust. 2 pkt 6 na terenie Gminy Olszanka powstał Punkt Selektywnej Zbiórki Odpadów Komunalnych (tzw. PSZOK) w miejscowości Gierszowice, do którego mieszkańcy oddają m. in. zużyte baterie i akumulatory, zużyte opony,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odpady budowlane i rozbiórkowe z gospodarstw domowych, meble i innych odpady wielkogabarytowe, zużyty sprzęt elektryczny i elektroniczny, bioodpady, szkło, papier i tekturę, odpady niebezpieczne, przeterminowane leki i chemikalia, odpady niekwalifikujące się do odpadów medycznych, które powstały w gospodarstwie domowym w wyniku przyjmowania produktów leczniczych w formie iniekcji i prowadzenia monitoringu poziomu substancji we krwi, w szczególności igły i strzykawki. Punkt Selektywnej Zbiórki Odpadów Komunalnych w roku 2021 obsługiwała firma Rem</w:t>
      </w:r>
      <w:r>
        <w:rPr>
          <w:rFonts w:eastAsia="Times New Roman" w:cs="Times New Roman" w:ascii="Times New Roman" w:hAnsi="Times New Roman"/>
          <w:color w:val="00000A"/>
        </w:rPr>
        <w:t>ondis Opole Sp. z o. o. , Al. Przyjaźni 9, 45-573 Opole.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Dodatkowo raz w roku w systemie akcyjnym, odbierane są bezpośrednio sprzed posesji mieszkańców  frakcje takie jak: meble i odpady wielkogabarytowe, zużyte opony (od pojazdów osobowych do 4 szt.), zużyty sprzęt elektryczny i elektroniczny.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Pozostałe zadania gminy określone w ustawie o utrzymaniu czystości i porządku w gminach, które również dotyczą gospodarki odpadami komunalnymi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- zapobieganie zanieczyszczaniu ulic, parków i terenów otwartych,  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utrzymanie czystości i porządku na przystankach komunikacyjnych,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usuwanie materiałów zawierających azbest.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Dbaniem o porządek na przystankach komunikacyjnych oraz opróżnianiem koszy ulicznych zajmowała się firma Remondis Opole Sp. z o. o. , Al. Przyjaźni 9, 45-573 Opole.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Zgodnie z ustawą o odpadach z dnia 14 grudnia 2012 roku  (Dz. U. z 2022 r., poz. 699), jako przetwarzanie rozumie się przez to procesy odzysku lub unieszkodliwiania, w tym przygotowanie poprzedzające odzysk lub unieszkodliwianie.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Możliwości  przetwarzania  niesegregowanych (zmieszanych)  odpadów komunalnych  związane  są  z  ich zagospodarowaniem  w  poszczególnych  instalacjach  do  odzysku  (głównie  instalacje mechaniczno-biologiczne przetwarzania  odpadów  komunalnych)  lub  unieszkodliwiania  (głównie składowanie odpadów na składowiskach).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ustawą o utrzymaniu czystości i porządku w gminach (art. 9e  ust. 1 ) podmiot odbierający odpady komunalne na podstawie umowy z właścicielem nieruchomości jest obowiązany do przekazywania odebranych od właścicieli nieruchomości: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niesegregowanych (zmieszanych) odpadów komunalnych bezpośrednio do instalacji komunalnej,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 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</w:rPr>
        <w:t>Najczęściej wytwarzane odpady na terenie Gminy Olszanka i ich kody: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1. Odpady kuchenne ulegające biodegradacji  20 01 08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2. Opakowania z papieru i tektury 15 01 01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3. Opakowania ze szkła 15 01 07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4. Urządzenia zawierające freony 20 01 23*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5. Zmieszane odpady opakowaniowe 15 01 06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6. Leki inne niż wymienione w 20 01 31 – 20 01 32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Odpady wielkogabarytowe 20 03 07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8. Zużyte baterie i akumulatory 20 01 33*,20 01 34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9. Zużyte urządzenia elektryczne i elektroniczne 20 01 35*, 20 01 36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10. Farby, tusze, farby drukarskie, kleje, lepiszcze i żywice zawierające substancje niebezpieczne -20 01 27*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11. Zużyte opony (wyłącznie z pojazdów osobowych) 16 01 03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</w:rPr>
        <w:t xml:space="preserve">12. </w:t>
      </w:r>
      <w:r>
        <w:rPr>
          <w:rFonts w:eastAsia="Times New Roman" w:cs="Times New Roman" w:ascii="Times New Roman" w:hAnsi="Times New Roman"/>
          <w:color w:val="00000A"/>
        </w:rPr>
        <w:t>Zmieszane odpady z budowy, remontów i demontażu inne niż wymienione w 17 09 01, 17 09 02 i 17 09 03 – 17 09 04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13. Zmieszane odpady z betonu, gruzu ceglanego, odpadowych materiałów ceramicznych i elementów wyposażenia inne niż wymienione w 17 01 06 - 17 01 07 .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z terenu Gminy Olszanka w 2021 roku trafiały do: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a) niesegregowane (zmieszane) odpady komunalne - Instalacja  Komunalna MBP w Opolu, ul. Podmiejska 69,  45-574 Opole, prowadzona przez Remondis Opole Sp. z o. o.;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b) odpady szklane – Instalacja do przeróbki szkła Remondis Glass Recykling Polska, ul. Portowa 22, 44-100 Gliwice;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c) papier – Linia do segregacji odpadów w Opolu zarządzający Remondis Opole Sp. z o.o. Al. Przyjaźni 9, 45-573 Opole oraz Instalacja do segregacji odpadów w Gotartowie – Eko - Region Sp. z o.o.;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d) odpady wielkogabarytowe – Instalacja Komunalna MBP w Opolu ul. Podmiejska 69, 45-574 Opole zarządzana przez Remondis Opole Sp. z o.o., Al. Przyjaźni 9, 45-573 Opole oraz Zakład produkcji Paliw Alternatywnych w Górażdżach, ul. Kamienna 11, 47-316 Górażdże, Remondis Sp. z o.o.,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e) zmieszane odpady opakowaniowe – Instalacja Komunalna MBP w Opolu ul. Podmiejska 69, 45-574 Opole zarządzana przez Remondis Opole Sp. z o.o. Al. Przyjaźni 9, 45-573 Opole, Linia do segregacji odpadów w Opolu zarządzający Remondis Opole Sp. z o.o. Al. Przyjaźni 9, 45-573 Opole oraz Instalacja do segregacji odpadów w Gotartowie k/Kluczborka EKO - Region Sp. z o.o. Bawełniana 18, 97-400 Bełchatów;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f) zużyte urządzenia elektryczne i elektroniczne inne niż wymienione w 20 01 21 i 20 01 23 zawierające niebezpieczne składniki – Remondis Elektrorecycling Sp. z o. o. - Instalacja do przetwarzania zużytego sprzętu elektrycznego i elektronicznego Remondis Elektrorecykling Sp. z o.o. w Łodzi, ul. Pryncypalna 132/134,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g) odpady kuchenne ulegające biodegradacji – Kompostownia Opole zarządzana przez Zakład Komunalny Sp. z o.o. w Opolu ul. Podmiejska 69, 45-574 Opole;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h)  lampy fluorescencyjne i inne odpady zawierające rtęć - Remondis Sp. z o.o. - Oddział w Dąbrowie Górniczej, ul. Puszkina 41,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i) zmieszane odpady z budowy, remontów i demontażu – Zakład Komunalny Sp. z o.o., Opole ul. Podmiejska 69, Linia Kruszenia Odpadów Budowlanych;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j) urządzenia zawierające freony - Remondis Elektrorecykling Sp. z o.o., Instalacja do przetwarzania zużytego sprzętu elektrycznego i elektronicznego Remondis Elektrorecykling Sp. z o.o.;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k) farby, tusze, farby drukarskie, kleje, lepiszcze i żywice zawierające substancje niebezpieczne – Instalacja termicznego przekształcania odpadów "SARPIA" Dąbrowa Górnicza Remondis Sp. z o.o. Oddział w Dąbrowie Górniczej, Remondis Sp. z o.o. (ZUO Sosnowiec);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l) przeterminowane leki - Remondis Sp. z o.o., Oddział w Dąbrowie Górniczej, ul. Puszkina 41.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m) opony - Górażdże Cement S.A., Chorula, ul. Cementowa 1, Instalacja termicznego przekształcania odpadów.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spacing w:before="100" w:after="100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4. Potrzeby inwestycyjne.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wywiązania się z ustawowego obowiązku zapewnienia porządku i czystości na  terenie gminy w roku 2021 działał Punkt Selektywnego Zbierania Odpadów Komunalnych w Gierszowicach. Odpady z terenu Gminy, od właścicieli nieruchomości, którzy dostarczają je tam we własnym zakresie przyjmowane były nieodpłatnie.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Potrzeby inwestycyjne związane z gospodarowaniem odpadów komunalnych na terenie gminy Olszanka  przejawiają się w konieczności udoskonalania Punktu Selektywnej Zbiórki Odpadów Komunalnych (PSZOK).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Do potrzeb inwestycyjnych w roku 2022 należą również potrzeby doskonalenia systemu gospodarki odpadami na obszarze Gminy Olszanka, przede wszystkim w sferze selektywnego zbierania odpadów, prawidłowej segregacji odpadów komunalnych oraz prawidłowego kompostowania bioodpadów. Planowane jest także utwardzenie terenu PSZOKa, wykonanie wiaty na kontenery z papierem, tworzywami oraz szkłem. Ponadto zaplanowano montaż monitoringu oraz częściową wymianę ogrodzenia wraz z bramą wjazdową.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100" w:after="10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5. Koszty poniesione w związku z odbieraniem, odzyskiem, recyklingiem i unieszkodliwianiem odpadów komunalnych.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systemie gospodarowania odpadami komunalnymi gmina pełni funkcję koordynującą. Obowiązkiem właścicieli nieruchomości jest ponoszenie na rzecz gminy opłaty za gospodarowanie odpadami komunalnymi. Gmina z kolei w ramach zebranych opłat, zobligowana jest do wykonywania zadań zorganizowania, wdrożenia i realizowania odpowiedniej gospodarki odpadami komunalnymi na terenie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Ustalając system gospodarowania wzięto  pod uwagę specyfikę gminy. Określając wysokość stawki opłaty za gospodarowanie odpadami komunalnymi należało brać pod uwagę (art. 6k ust. 2 oraz 6r ust. 2 i 3 ustawy o utrzymaniu czystości i porządku w gminach):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 liczbę mieszkańców zamieszkujących daną gminę;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 ilość wytwarzanych na terenie gminy odpadów komunalnych.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Opłata za gospodarowanie odpadami komunalnymi stanowi dochód gminy, który musi pokrywać koszty funkcjonowania całego systemu gospodarowania odpadami komunalnymi, w szczególności koszty: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komunalnych,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utrzymywania punktów selektywnego zbierania odpadów komunalnych,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 pobranych opłat za gospodarowanie odpadami komunalnymi gmina może pokryć koszty: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wyposażenia nieruchomości w pojemniki lub worki do zbierania odpadów komunalnych oraz koszty utrzymywania pojemników w odpowiednim stanie sanitarnym, porządkowym i technicznym,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2) usunięcia odpadów komunalnych z miejsc nieprzeznaczonych do ich składowania  i magazynowania w rozumieniu ustawy z dnia 14 grudnia 2012 r. o odpadach.</w:t>
      </w:r>
    </w:p>
    <w:p>
      <w:pPr>
        <w:pStyle w:val="Standard"/>
        <w:ind w:left="283" w:hanging="0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zamian za pobraną opłatę za gospodarowanie odpadami komunalnymi gmina zapewnia właścicielom nieruchomości pozbywanie się wszystkich rodzajów odpadów komunalnych, przy czym rozumie się przez to odbieranie odpadów z terenu nieruchomości, o których mowa w art. 6c ust. 1 ustawy z dnia 13 września 1996 r. o utrzymaniu czystości i porządku w gminach  (Dz. U. z 2021 r., poz. 888 z późn. zm.), przyjmowanie odpadów przez Punkty Selektywnego Zbierania Odpadów Komunalnych oraz zapewnianie przyjmowania tych odpadów przez gminę w inny sposób. 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Podstawą do naliczania opłat w Gminie Olszanka jest ilość osób zamieszkujących w danym gospodarstwie domowym. Informację tę podaje się w formie deklaracji, która jest dostępna w Urzędzie Gminy Olszanka oraz na stronie internetowej gminy: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0A"/>
          </w:rPr>
          <w:t>https://samorzad.gov.pl/web/gmina-olszanka</w:t>
        </w:r>
      </w:hyperlink>
      <w:r>
        <w:rPr>
          <w:rFonts w:eastAsia="Times New Roman" w:cs="Times New Roman" w:ascii="Times New Roman" w:hAnsi="Times New Roman"/>
          <w:color w:val="00000A"/>
        </w:rPr>
        <w:t xml:space="preserve"> . </w:t>
        <w:br/>
        <w:tab/>
        <w:t>Deklarację o wysokości opłaty za gospodarowanie odpadami komunalnymi składa właściciel nieruchomości. W przypadku, gdy ktoś jest właścicielem kilku nieruchomości dla każdej składa osobną deklarację. W zabudowie wielorodzinnej deklaracje składają:  właściciel mieszkania lub zarządca nieruchomości.</w:t>
      </w:r>
    </w:p>
    <w:p>
      <w:pPr>
        <w:pStyle w:val="Standard"/>
        <w:spacing w:before="100" w:after="100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5.1. Dochody</w:t>
      </w:r>
    </w:p>
    <w:p>
      <w:pPr>
        <w:pStyle w:val="Standard"/>
        <w:spacing w:before="100" w:after="10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Gminie Olszanka systemem gospodarowania odpadami komunalnymi w 2021 roku objęte były nieruchomości zamieszkałe. Zmianie nie uległa również metoda ustalenia opłaty za gospodarowanie odpadami komunalnymi i nadal jest to opłata od gospodarstwa domowego liczona jako iloczyn stawki opłaty i ilości mieszkańców zamieszkujących daną nieruchomość.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</w:rPr>
        <w:t>Wysokość miesięcznej stawki opłaty za gospodarowanie odpadami komunalnymi w gminie Olszanka w 2021 r. wynosiła: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color w:val="00000A"/>
        </w:rPr>
        <w:t>od stycznia do lutego: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- za odpady odbierane w sposób selektywny  w wysokości 26,00 zł / 25,00 z kompostownikiem</w:t>
        <w:br/>
        <w:t xml:space="preserve">- za odpady odbierane w sposób nieselektywny w wysokości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52,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00 zł.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color w:val="00000A"/>
        </w:rPr>
        <w:t>od  marca do grudnia:</w:t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- za odpady odbierane w sposób selektywny  w wysokości 32,00 zł / 28,00 z kompostownikiem</w:t>
        <w:br/>
        <w:t>- za odpady odbierane w sposób nieselektywny w wysokości 64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00 zł.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ab/>
        <w:t xml:space="preserve">W 2021 roku zrealizowano dochody z tytułu opłaty za gospodarowanie odpadami komunalnymi w kwocie 1 468 205,57 zł, z czego wpływy z tytułu opłaty za gospodarowanie odpadami komunalnymi stanowią kwotę 1 460 939,06 zł, natomiast pozostałe dochody w kwocie   7 266,51 zł stanowią odsetki, koszty upomnienia i opłata prolongacyjna. </w:t>
      </w:r>
    </w:p>
    <w:p>
      <w:pPr>
        <w:pStyle w:val="Normal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Standard"/>
        <w:tabs>
          <w:tab w:val="left" w:pos="1686" w:leader="none"/>
        </w:tabs>
        <w:ind w:firstLine="709"/>
        <w:rPr>
          <w:rFonts w:ascii="Times New Roman" w:hAnsi="Times New Roman" w:eastAsia="Calibri" w:cs="Calibri"/>
          <w:color w:val="00000A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z w:val="24"/>
          <w:szCs w:val="24"/>
        </w:rPr>
      </w:r>
    </w:p>
    <w:tbl>
      <w:tblPr>
        <w:tblW w:w="9360" w:type="dxa"/>
        <w:jc w:val="left"/>
        <w:tblInd w:w="-6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9"/>
        <w:gridCol w:w="4140"/>
        <w:gridCol w:w="1526"/>
        <w:gridCol w:w="1652"/>
        <w:gridCol w:w="1083"/>
      </w:tblGrid>
      <w:tr>
        <w:trPr>
          <w:trHeight w:val="408" w:hRule="atLeast"/>
        </w:trPr>
        <w:tc>
          <w:tcPr>
            <w:tcW w:w="93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</w:rPr>
              <w:t>Tabela 3. Dochody z opłat za gospodarowanie odpadami komunalnymi</w:t>
            </w:r>
          </w:p>
        </w:tc>
      </w:tr>
      <w:tr>
        <w:trPr>
          <w:trHeight w:val="70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ind w:firstLine="70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Treść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Plan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r.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Wykonanie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21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r.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% wykonania</w:t>
            </w:r>
          </w:p>
        </w:tc>
      </w:tr>
      <w:tr>
        <w:trPr>
          <w:trHeight w:val="49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Gospodarka odpadami komunalnymi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1 464 084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0"/>
                <w:szCs w:val="24"/>
                <w:lang w:val="pl-PL" w:eastAsia="pl-PL" w:bidi="ar-SA"/>
              </w:rPr>
              <w:t>1 468 205,57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 xml:space="preserve">100,28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%</w:t>
            </w:r>
          </w:p>
        </w:tc>
      </w:tr>
      <w:tr>
        <w:trPr>
          <w:trHeight w:val="94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2"/>
                <w:sz w:val="20"/>
                <w:szCs w:val="24"/>
                <w:lang w:val="pl-PL" w:eastAsia="pl-PL" w:bidi="ar-SA"/>
              </w:rPr>
              <w:t>1 458 084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0"/>
              </w:rPr>
              <w:t>,00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1 460 939,06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100,20 %</w:t>
            </w:r>
          </w:p>
        </w:tc>
      </w:tr>
      <w:tr>
        <w:trPr>
          <w:trHeight w:val="588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Wpływy z tytułu kosztów egzekucyjnych, opłaty komorniczej i kosztów upomnień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 xml:space="preserve"> 000,00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2 924,86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 xml:space="preserve">97,50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Wpływy z odsetek od nieterminowych wpłat z tytułu podatków i opłat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3 000,00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>4 337,65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4"/>
                <w:lang w:val="pl-PL" w:eastAsia="pl-PL" w:bidi="ar-SA"/>
              </w:rPr>
              <w:t xml:space="preserve">144,59 </w:t>
            </w:r>
            <w:r>
              <w:rPr>
                <w:rFonts w:eastAsia="Times New Roman" w:cs="Times New Roman" w:ascii="Times New Roman" w:hAnsi="Times New Roman"/>
                <w:color w:val="00000A"/>
                <w:sz w:val="20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Wpływy z opłaty prolongacyjnej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Standard"/>
        <w:spacing w:before="0" w:after="240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5.2 Wydatki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art. 6r ust. 2 ustawy z dnia 13 września 1996 r. o utrzymaniu czystości i porządku w gminach (Dz. U. z 2021 r., poz. 888 z późn. zm.)  koszty funkcjonowania systemu gospodarowania odpadami obejmują koszty: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komunalnych;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utrzymania punktu selektywnego zbierania odpadów komunalnych;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Wyżej wymienione koszty pokrywane są z pobieranych od mieszkańców opłat za gospodarowanie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jc w:val="both"/>
        <w:rPr>
          <w:rFonts w:eastAsia="Calibri" w:cs="Calibri"/>
          <w:color w:val="00000A"/>
          <w:sz w:val="24"/>
          <w:szCs w:val="24"/>
        </w:rPr>
      </w:pP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ab/>
        <w:t xml:space="preserve">Wydatki poniesione na funkcjonowanie systemu gospodarowania odpadami komunalnymi stanowiły kwotę </w:t>
      </w:r>
      <w:r>
        <w:rPr>
          <w:rFonts w:eastAsia="Calibri" w:cs="Calibri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>1 630 202,59 zł</w:t>
      </w: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 xml:space="preserve"> z czego: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1) odbiór, transport i zagospodarowanie odpadów komunalnych - wydatek w kwocie 1 493 146,29 zł. Wydatek dotyczy usług świadczonych za okres od XII 2020 roku do XI 2021 roku na podstawie umów zawartych w wyniku postępowania przetargowego z firmą "Remondis Opole" Sp. z o.o. W tym okresie obowiązywały dwie umowy tj.: umowa IRiOŚ.272.1.2020 z dnia 02.03.2020 r. zawarta na okres od dnia 01.03.2020 do 28.02.2021 oraz umowa IRIOŚ.272.1.2021 z dnia 01.03.2021 r. zawarta na okres od dnia 01.03.2021 do 29.02.2024.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2) obsługa administracyjna systemu - wydatek w kwocie 137 056,30 zł tj.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a) wynagrodzenia i pochodne osób zatrudnionych na stanowiskach ds. Gospodarowania Odpadami Komunalnymi oraz ds. Księgowości i Windykacji Opłat za Gospodarowanie Odpadami Komunalnymi - kwota 111 499,27 zł.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b) wydatki osobowe niezaliczane do wynagrodzeń - kwota 483,00 zł;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c) wydatki zwi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ązane z realizacją zadań statutowych - kwota 25 074,03 zł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zakup materiałów i wyposażenia w kwocie 373,10 zł - zakupiono worki na odpady, materiały biurowe oraz druki zwrotnego potwierdzenia odbioru;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zakup usług pozostałych w kwocie 16 977,28 zł - wydatek dotyczy opłaty za usługi pocztowe oraz nadzór autorski nad eksploatacją oprogramowania systemu ADAS -  moduł: Opłata za Odpady oraz moduł: Księgowość Podatkowa (Karty Kontowe);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podróże służbowe krajowe w kwocie 1 541,13 zł - sfinansowano zwrot kosztów używania przez pracowników pojazdów w celach służbowych;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różne opłaty i składki w kwocie 1 175,00 zł -  wydatki związane z egzekucją opłaty za gospodarowanie odpadami komunalnymi tj. zapłacono opłatę komorniczą 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koszty postępowania sądowego i prokuratorskiego w kwocie 200,00 zł - wniesiono opłatę za wpis hipoteki w księdze wieczystej;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odpis na ZFŚS w kwocie 3 100,52 zł - dokonano odpisu na zakładowy fundusz świadczeń socjalnych dla pracowników (2 etaty);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- szkolenia pracowników w kwocie 1 707,00 zł - opłacono szkolenia dla pracowników.</w:t>
      </w:r>
    </w:p>
    <w:p>
      <w:pPr>
        <w:pStyle w:val="Normal"/>
        <w:bidi w:val="0"/>
        <w:ind w:firstLine="709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W w:w="921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5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6"/>
        <w:gridCol w:w="3525"/>
        <w:gridCol w:w="1815"/>
        <w:gridCol w:w="1756"/>
        <w:gridCol w:w="1156"/>
      </w:tblGrid>
      <w:tr>
        <w:trPr/>
        <w:tc>
          <w:tcPr>
            <w:tcW w:w="9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Tabela 4. Wydatki na pokrycie kosztów funkcjonowania systemu gospodarowania odpadami komunalnymi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Lp.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ind w:left="-454"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Rodzaj poniesionych wydatków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Plan 31.12.2020r.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Wykonanie 31.12.2020r.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%  wykonania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Gospodarka komunalna i ochrona środowiska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1 693  346,52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0"/>
                <w:szCs w:val="24"/>
                <w:lang w:val="pl-PL" w:eastAsia="pl-PL" w:bidi="ar-SA"/>
              </w:rPr>
              <w:t>630 202,59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</w:rPr>
              <w:t>96,27%</w:t>
            </w:r>
          </w:p>
        </w:tc>
      </w:tr>
      <w:tr>
        <w:trPr/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Gospodarka odpadami komunalnymi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1 693 346,52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0"/>
                <w:szCs w:val="24"/>
                <w:lang w:val="pl-PL" w:eastAsia="pl-PL" w:bidi="ar-SA"/>
              </w:rPr>
              <w:t>630 202,59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96,27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Wydatki osobowe niezaliczone do wynagrodzeń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1 000,00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483,00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48,30%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Wynagrodzenia osobowe pracowników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86 126,91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85 016,12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98,71%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5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Dodatkowe wynagrodzenie roczne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7 915,08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7 915,09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100,00%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6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Składki na ubezpieczenia społeczne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16 300,00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15 545,31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95,37%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7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Składki na Fundusz Pracy oraz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Fundusz Solidarnościowy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2 400,00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2 293,75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95,57%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8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left="-56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Zakup materiałów i wyposażenia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373,10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37,31%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Zakup usług zdrowotnych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400,00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0,0%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10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Zakup usług pozostałych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1 521 804</w:t>
            </w:r>
            <w:r>
              <w:rPr>
                <w:rFonts w:eastAsia="Times New Roman" w:cs="Times New Roman" w:ascii="Times New Roman" w:hAnsi="Times New Roman"/>
                <w:sz w:val="20"/>
              </w:rPr>
              <w:t>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1 510 123,57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99,23%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Podróże służbowe krajowe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2 300,00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1 541,13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67,01%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Różne opłaty i składki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1 175,00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58,75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13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Odpisy na zakładowy fundusz świadczeń socjalnych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3 100,52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3 100,52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100,00%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Koszty postępowania sądowego i prokuratorskiego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600,00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200,00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33,33%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15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Szkolenia pracowników niebędących członkami służby cywilnej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2 400,00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1 707,00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4"/>
                <w:lang w:val="pl-PL" w:eastAsia="pl-PL" w:bidi="ar-SA"/>
              </w:rPr>
              <w:t>71,13</w:t>
            </w:r>
            <w:r>
              <w:rPr>
                <w:rFonts w:eastAsia="Times New Roman" w:cs="Times New Roman" w:ascii="Times New Roman" w:hAnsi="Times New Roman"/>
                <w:sz w:val="20"/>
              </w:rPr>
              <w:t>%</w:t>
            </w:r>
          </w:p>
        </w:tc>
      </w:tr>
      <w:tr>
        <w:trPr/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72,90%</w:t>
            </w:r>
          </w:p>
        </w:tc>
      </w:tr>
      <w:tr>
        <w:trPr/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Wydatki inwestycyjne jednostek budżetowych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ab/>
        <w:t>Zgodnie z Uchwa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łą XXXV/214/2021 Rady Gminy Olszanka  z dnia 25 października 2021 r. w sprawie pokrycia części kosztów gospodarowania odpadami komunalnymi z dochodów własnych niepochodzących z pobranej opłaty za gospodarowanie odpadami komunalnymi,  postanowiono o pokryciu części kosztów gospodarowania odpadami komunalnymi w 2021 r. do kwoty 250 000,00 zł. 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ab/>
        <w:t xml:space="preserve">W 2021 roku dochody własne niepochodzące z pobranej opłaty za gospodarowanie odpadami komunalnymi,  które zostały przeznaczone na pokrycie kosztów gospodarowania odpadami komunalnymi stanowią kwotę  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</w:rPr>
        <w:t xml:space="preserve">161 997,02 zł. </w:t>
        <w:tab/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 w:eastAsia="Times New Roman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single"/>
          <w:em w:val="none"/>
        </w:rPr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Times New Roman" w:hAnsi="Times New Roman"/>
          <w:b/>
          <w:bCs/>
          <w:color w:val="000000"/>
          <w:sz w:val="24"/>
          <w:szCs w:val="24"/>
        </w:rPr>
        <w:t>5.3. Zaległości w opłacie za gospodarowanie odpadami komunalnymi.</w:t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color w:val="CE181E"/>
          <w:sz w:val="24"/>
          <w:szCs w:val="24"/>
        </w:rPr>
        <w:tab/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Ze szczegółowej analizy kart kontowych wynika, że kwota ok. </w:t>
      </w:r>
      <w:r>
        <w:rPr>
          <w:rStyle w:val="Domylnaczcionkaakapitu"/>
          <w:rFonts w:cs="Times New Roman" w:ascii="Times New Roman" w:hAnsi="Times New Roman"/>
          <w:b/>
          <w:color w:val="000000"/>
          <w:sz w:val="24"/>
          <w:szCs w:val="24"/>
        </w:rPr>
        <w:t>10-12 tys.</w:t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 rocznie to zaległości całkowicie nieściągalne. Zaległości powyżej 1.000,00 zł posiada 47 osób łącznie na kwotę 122 630,39  zł, przy czym egzekucja jest nieskuteczna w stosunku do 25 osób łącznie na kwotę 83 312,61 zł (stan na dzień 31.12.2021r.).</w:t>
      </w:r>
    </w:p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751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  <w:gridCol w:w="4818"/>
      </w:tblGrid>
      <w:tr>
        <w:trPr>
          <w:trHeight w:val="285" w:hRule="atLeast"/>
        </w:trPr>
        <w:tc>
          <w:tcPr>
            <w:tcW w:w="75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2"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Tabela 5. Zaległości z tytułu opłaty za odpady na dzień 31.12.2021</w:t>
            </w:r>
          </w:p>
        </w:tc>
      </w:tr>
      <w:tr>
        <w:trPr>
          <w:trHeight w:val="48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Kwota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338,40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2 155,83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4 420,66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5 822,59 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7 891,10 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13 386,97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18 178,99 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27 119,27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98 520,73 zł</w:t>
            </w:r>
          </w:p>
        </w:tc>
      </w:tr>
      <w:tr>
        <w:trPr>
          <w:trHeight w:val="36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177 834,54 zł</w:t>
            </w:r>
          </w:p>
        </w:tc>
      </w:tr>
    </w:tbl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ab/>
        <w:t>Brak ściągalności opłaty za gospodarowanie odpadami komunalnymi to realne zagrożenie dla realizacji dochodu, z którego muszą być pokryte koszty systemu.</w:t>
      </w:r>
    </w:p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6379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369"/>
        <w:gridCol w:w="3009"/>
      </w:tblGrid>
      <w:tr>
        <w:trPr>
          <w:trHeight w:val="285" w:hRule="atLeast"/>
        </w:trPr>
        <w:tc>
          <w:tcPr>
            <w:tcW w:w="637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Tabela 6. Zaległości w podziale na sołectwa</w:t>
            </w:r>
          </w:p>
        </w:tc>
      </w:tr>
      <w:tr>
        <w:trPr>
          <w:trHeight w:val="28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2"/>
                <w:szCs w:val="22"/>
              </w:rPr>
              <w:t>Sołectwo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2"/>
                <w:szCs w:val="22"/>
              </w:rPr>
              <w:t>Kwota zaległości na dzień 31.12.2021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Czeska Wieś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16 288,35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Gierszowice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7 266,19 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Jankowice Wlk.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41 103,38 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Janów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12 098,11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Krzyżowice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8 539,60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Michałów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27 693,81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Obórki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12 053,99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Olszanka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23 498,51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Pogorzela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9 394,84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Przylesie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2"/>
                <w:szCs w:val="22"/>
              </w:rPr>
              <w:t>19 897,76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2"/>
                <w:szCs w:val="22"/>
              </w:rPr>
              <w:t>177 834,54  zł</w:t>
            </w:r>
          </w:p>
        </w:tc>
      </w:tr>
    </w:tbl>
    <w:p>
      <w:pPr>
        <w:pStyle w:val="Bodytext"/>
        <w:shd w:val="clear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6. Liczba mieszkańców.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dzień 31.12.2021 r. liczyła 4813 mieszkańców zameldowanych (wg danych z Ewidencji Ludności).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deklaracjach o wysokości opłaty za gospodarowanie odpadami komunalnymi, złożonych w Urzędzie Gminy, ujętych zostało 4091</w:t>
      </w: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  <w:r>
        <w:rPr>
          <w:rFonts w:eastAsia="Times New Roman" w:cs="Times New Roman" w:ascii="Times New Roman" w:hAnsi="Times New Roman"/>
          <w:color w:val="00000A"/>
        </w:rPr>
        <w:t>mieszkańców (stan na 31.12.2021 r.). Różnica w podanej liczbie mieszkańców wynika m. in. z tego, że wielu uczniów i studentów kontynuuje naukę poza miejscem stałego zameldowania. Analogiczna sytuacja występuje wśród osób czynnych zawodowo, którzy ze względu na wykonywaną pracę przebywają poza terenem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Wszystkie posesje zamieszkałe są objęte systemem gospodarowania odpadami.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Liczba złożonych deklaracji objętych systemem gospodarki odpadami  na nieruchomościach wyniosła 1375 (stan na 31.12.2021 rok).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W w:w="9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44"/>
        <w:gridCol w:w="5099"/>
        <w:gridCol w:w="3017"/>
      </w:tblGrid>
      <w:tr>
        <w:trPr>
          <w:trHeight w:val="303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Tabela 7. Zestawienie deklaracji z deklarowaną liczbą osób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highlight w:val="yellow"/>
              </w:rPr>
              <w:t>L.p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highlight w:val="yellow"/>
              </w:rPr>
              <w:t>Deklarowana liczba osób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highlight w:val="yellow"/>
              </w:rPr>
              <w:t>Ilość deklaracji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263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2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375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3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266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4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234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5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125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6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73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7.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7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24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8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9.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9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4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10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11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12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13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6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</w:rPr>
              <w:t>R A Z E M: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</w:rPr>
              <w:t>1375</w:t>
            </w:r>
          </w:p>
        </w:tc>
      </w:tr>
    </w:tbl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  <w:t>Tabela 8. Liczba osób w Gminie Olszanka kompostujących bioodpady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tbl>
      <w:tblPr>
        <w:tblW w:w="852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20"/>
        <w:gridCol w:w="2294"/>
        <w:gridCol w:w="1610"/>
      </w:tblGrid>
      <w:tr>
        <w:trPr>
          <w:trHeight w:val="300" w:hRule="atLeast"/>
        </w:trPr>
        <w:tc>
          <w:tcPr>
            <w:tcW w:w="8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 xml:space="preserve">Liczba osób kompostujących bioodpady w kompostowniku przydomowym  </w:t>
            </w:r>
          </w:p>
        </w:tc>
      </w:tr>
      <w:tr>
        <w:trPr>
          <w:trHeight w:val="300" w:hRule="atLeast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Okresy korzystania ze zniżki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3"/>
                <w:szCs w:val="23"/>
                <w:lang w:eastAsia="pl-PL"/>
              </w:rPr>
              <w:t>31.12.2020 r.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3"/>
                <w:szCs w:val="23"/>
                <w:lang w:eastAsia="pl-PL"/>
              </w:rPr>
              <w:t>31.12.2021 r.</w:t>
            </w:r>
          </w:p>
        </w:tc>
      </w:tr>
      <w:tr>
        <w:trPr>
          <w:trHeight w:val="300" w:hRule="atLeast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Liczba gospodarstw  korzystających ze zniżki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Liczba osób korzystających ze zniżki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</w:tr>
      <w:tr>
        <w:trPr>
          <w:trHeight w:val="300" w:hRule="atLeast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Procentowy udział gospodarstw, które kompostują bioodpady w Gminie Olszanka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8,82 %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32,47 %</w:t>
            </w:r>
          </w:p>
        </w:tc>
      </w:tr>
      <w:tr>
        <w:trPr>
          <w:trHeight w:val="300" w:hRule="atLeast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Procentowy udział liczby osób,  które kompostują bioodpady w Gminie Olszanka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9,52 %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36,47 %</w:t>
            </w:r>
          </w:p>
        </w:tc>
      </w:tr>
    </w:tbl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Calibri" w:cs="Calibri"/>
          <w:color w:val="00000A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z w:val="24"/>
          <w:szCs w:val="24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bieżąco przeprowadzała analizy złożonych deklaracji.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roku 2021 załatwiono następujące sprawy związane z opłatą za zagospodarowanie odpadami komunalnymi: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- 42 wezwania do złożenia deklaracji o wysokości opłaty za gospodarowanie odpadami komunalnymi w przypadku właścicieli nieruchomości, którzy nie złożyli deklaracji bądź złożyli deklarację, ale dane w niej zawarte budziły wątpliwości - zostały podjęte odpowiednie działania.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- 23 wezwania do złożenia deklaracji o wysokości opłaty za gospodarowanie odpadami komunalnymi w przypadku właścicieli nieruchomości, którzy nie złożyli nowej deklaracji z tytułu urodzenia dziecka.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>7. Podmiot prowadzący działalność w zakresie odbioru, transportu i zagospodarowania odpadów komunalnych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jc w:val="both"/>
        <w:rPr/>
      </w:pPr>
      <w:r>
        <w:rPr>
          <w:rFonts w:eastAsia="SimSun" w:cs="Calibri" w:ascii="Times New Roman" w:hAnsi="Times New Roman"/>
          <w:color w:val="000000"/>
          <w:kern w:val="2"/>
          <w:lang w:val="pl-PL" w:eastAsia="zh-CN" w:bidi="hi-IN"/>
        </w:rPr>
        <w:tab/>
        <w:tab/>
        <w:t>W dniu 02.03.</w:t>
      </w:r>
      <w:r>
        <w:rPr>
          <w:rFonts w:eastAsia="SimSun" w:cs="Calibri" w:ascii="Times New Roman" w:hAnsi="Times New Roman"/>
          <w:color w:val="000000"/>
          <w:kern w:val="2"/>
          <w:lang w:eastAsia="zh-CN" w:bidi="hi-IN"/>
        </w:rPr>
        <w:t xml:space="preserve">2020 roku  </w:t>
      </w:r>
      <w:r>
        <w:rPr>
          <w:rFonts w:eastAsia="Times New Roman" w:cs="Calibri" w:ascii="Times New Roman" w:hAnsi="Times New Roman"/>
          <w:color w:val="000000"/>
          <w:kern w:val="2"/>
          <w:lang w:eastAsia="pl-PL" w:bidi="hi-IN"/>
        </w:rPr>
        <w:t xml:space="preserve">w związku z przeprowadzonym przetargiem nieograniczonym, po raz kolejny zawarto umowę z firmą Remondis Opole Sp. z o. o. 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na wykonanie usługi: „O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d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biór, transport i 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z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spacing w:val="-2"/>
          <w:kern w:val="2"/>
          <w:lang w:eastAsia="zh-CN" w:bidi="hi-IN"/>
        </w:rPr>
        <w:t>g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o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s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pod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ro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wa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nie odp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dów </w:t>
      </w:r>
      <w:r>
        <w:rPr>
          <w:rFonts w:eastAsia="Calibri" w:cs="Calibri" w:ascii="Times New Roman" w:hAnsi="Times New Roman"/>
          <w:color w:val="000000"/>
          <w:spacing w:val="30"/>
          <w:kern w:val="2"/>
          <w:lang w:eastAsia="zh-CN" w:bidi="hi-IN"/>
        </w:rPr>
        <w:t> 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komunal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n</w:t>
      </w:r>
      <w:r>
        <w:rPr>
          <w:rFonts w:eastAsia="Calibri" w:cs="Calibri" w:ascii="Times New Roman" w:hAnsi="Times New Roman"/>
          <w:color w:val="000000"/>
          <w:spacing w:val="-5"/>
          <w:kern w:val="2"/>
          <w:lang w:eastAsia="zh-CN" w:bidi="hi-IN"/>
        </w:rPr>
        <w:t>y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h od wł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ś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ici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li</w:t>
      </w:r>
      <w:r>
        <w:rPr>
          <w:rFonts w:eastAsia="Calibri" w:cs="Calibri" w:ascii="Times New Roman" w:hAnsi="Times New Roman"/>
          <w:color w:val="000000"/>
          <w:spacing w:val="17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nie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r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u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chomoś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i</w:t>
      </w:r>
      <w:r>
        <w:rPr>
          <w:rFonts w:eastAsia="Calibri" w:cs="Calibri" w:ascii="Times New Roman" w:hAnsi="Times New Roman"/>
          <w:color w:val="000000"/>
          <w:spacing w:val="20"/>
          <w:kern w:val="2"/>
          <w:lang w:eastAsia="zh-CN" w:bidi="hi-IN"/>
        </w:rPr>
        <w:t xml:space="preserve"> z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te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r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nu Gmi</w:t>
      </w:r>
      <w:r>
        <w:rPr>
          <w:rFonts w:eastAsia="Calibri" w:cs="Calibri" w:ascii="Times New Roman" w:hAnsi="Times New Roman"/>
          <w:color w:val="000000"/>
          <w:spacing w:val="3"/>
          <w:kern w:val="2"/>
          <w:lang w:eastAsia="zh-CN" w:bidi="hi-IN"/>
        </w:rPr>
        <w:t>n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y</w:t>
      </w:r>
      <w:r>
        <w:rPr>
          <w:rFonts w:eastAsia="Calibri" w:cs="Calibri" w:ascii="Times New Roman" w:hAnsi="Times New Roman"/>
          <w:color w:val="000000"/>
          <w:spacing w:val="12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Olszanka”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 w</w:t>
      </w:r>
      <w:r>
        <w:rPr>
          <w:rFonts w:eastAsia="Calibri" w:cs="Calibri" w:ascii="Times New Roman" w:hAnsi="Times New Roman"/>
          <w:color w:val="000000"/>
          <w:spacing w:val="16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okr</w:t>
      </w:r>
      <w:r>
        <w:rPr>
          <w:rFonts w:eastAsia="Calibri" w:cs="Calibri" w:ascii="Times New Roman" w:hAnsi="Times New Roman"/>
          <w:color w:val="000000"/>
          <w:spacing w:val="-2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sie od 1 marca 2020 r. do 28 lutego 2021 r. Łączna wartość wyłonionej oferty wyniosła 1 085 794,74 złotych brutto ( wartości faktury miesięcznej obliczane jako iloczyn cen jednostkowych zawartych w umowie na odbiór, transport i zagospodarowanie poszczególnych frakcji odpadów komunalnych i  odebranej  ilości  odpadów).</w:t>
      </w:r>
    </w:p>
    <w:p>
      <w:pPr>
        <w:pStyle w:val="Normal"/>
        <w:jc w:val="both"/>
        <w:rPr/>
      </w:pP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ab/>
        <w:tab/>
        <w:t>W</w:t>
      </w: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u w:val="none"/>
          <w:em w:val="none"/>
          <w:lang w:eastAsia="zh-CN" w:bidi="hi-IN"/>
        </w:rPr>
        <w:t xml:space="preserve">ydatek w kwocie 1 493 146,29 zł dotyczy usług świadczonych za okres od XII 2020 roku do XI 2021 roku na podstawie umów zawartych w wyniku postępowania przetargowego z firmą "Remondis Opole" Sp. z o.o. W tym okresie obowiązywały dwie umowy tj.: umowa IRiOŚ.272.1.2020 z dnia 02.03.2020 r. zawarta na okres od dnia 01.03.2020 do 28.02.2021 oraz umowa IRIOŚ.272.1.2021 z dnia 01.03.2021 r. zawarta na okres od dnia 01.03.2021 do 29.02.2024.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ab/>
        <w:tab/>
        <w:t>W ramach  zawartej umowy Wykonawca przewiduje dostarczenie właścicielom nieruchomości pojemniki bądź worki zgodnie ze złożoną  deklaracją.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>8. Liczba właścicieli nieruchomości, którzy nie zawarli umowy, o której mowa w art. 6 ust. 1 ustawy z dnia 13 września 1996 r. o utrzymaniu czystości i porządku w gminach (Dz. U. z 2021 r., poz. 888 z późn. zm.) , w imieniu których gmina powinna podjąć działania, o których mowa w art. 6 ust. 6-12 ww. ustawy.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>Gmina Olszanka zobowiązana jest na podstawie art. 3 ust. 3 pkt. 3 ustawy z dnia 13 września 1996 r. o utrzymaniu czystości i porządku w gminach  (Dz. U. z 2021 r., poz. 888 z późn. zm.) do prowadzenia ewidencji umów zawartych na odbieranie odpadów komunalnych od właścicieli nieruchomości w celu kontrolowania wykonywania przez właścicieli nieruchomości i przedsiębiorców obowiązków wynikających z ustawy.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>Zgodnie z art. 5 ust. 1 pkt 3b ustawy z dnia 13 września 1996 r. o utrzymaniu czystości i porządku w gminach  (Dz. U. z 2021 r., poz. 888 z późn. zm.) właściciele nieruchomości obowiązani są do pozbywania się zebranych na terenie nieruchomości odpadów komunalnych oraz nieczystości ciekłych w sposób zgodny z przepisami ustawy i przepisami odrębnymi.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>Z kolei zgodnie z art. 6 ust. 1 ustawy z dnia 13 września 1996 r. o utrzymaniu czystości i porządku w gminach  (Dz. U. z 2021 r., poz. 888 z późn. zm.) 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 3b, są obowiązani do udokumentowania w formie umowy korzystania z usług wykonywanych przez: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gminną jednostkę organizacyjną lub przedsiębiorcę posiadającego zezwolenie na prowadzenie działalności w zakresie opróżniania zbiorników bezodpływowych i transportu nieczystości ciekłych 2) gminną jednostkę organizacyjną lub przedsiębiorcę odbierającego odpady komunalne od właścicieli nieruchomości, wpisanego do rejestru działalności regulowanej, o którym mowa w art. 9b ust. 2 – przez okazanie takich umów i dowodów uiszczania opłat za te usługi.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>Na terenie Gminy Olszanka nie objęto Systemem Gospodarowania Odpadami Komunalnymi właścicieli nieruchomości niezamieszkałych co zobowiązuje je do zawarcia przedmiotowej umowy.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przeprowadziła kontrole nieruchomości niezamieszkałych. Kontrola ta polegała na sprawdzeniu czy przedsiębiorcy, którzy nie mieli obowiązku złożyć deklaracji do Urzędu, mają podpisane umowy na odbiór odpadów, które powstają w wyniku ich działania.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analizowanym okresie przeprowadzono </w:t>
      </w:r>
      <w:r>
        <w:rPr>
          <w:rFonts w:eastAsia="Times New Roman" w:cs="Times New Roman" w:ascii="Times New Roman" w:hAnsi="Times New Roman"/>
          <w:b/>
          <w:bCs/>
          <w:color w:val="00000A"/>
        </w:rPr>
        <w:t>29 kontroli</w:t>
      </w:r>
      <w:r>
        <w:rPr>
          <w:rFonts w:eastAsia="Times New Roman" w:cs="Times New Roman" w:ascii="Times New Roman" w:hAnsi="Times New Roman"/>
          <w:color w:val="00000A"/>
        </w:rPr>
        <w:t xml:space="preserve"> związanych z wezwaniem do okazania umowy wraz z okazaniem potwierdzenia zapłaty na odbiór odpadów komunalnych w ramach prowadzonej działalności gospodarczej.</w:t>
      </w:r>
    </w:p>
    <w:p>
      <w:pPr>
        <w:pStyle w:val="Standard"/>
        <w:ind w:left="0" w:right="0"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9. Ilość odpadów komunalnych wytworzonych na terenie gminy.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roku 2021 odebrano i zebrano łącznie 2008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,1750</w:t>
      </w:r>
      <w:r>
        <w:rPr>
          <w:rFonts w:eastAsia="Times New Roman" w:cs="Times New Roman" w:ascii="Times New Roman" w:hAnsi="Times New Roman"/>
          <w:color w:val="00000A"/>
        </w:rPr>
        <w:t xml:space="preserve"> Mg odpadów komunalnych (łącznie z PSZOK). Szczegółowa ilość odpadów komunalnych odebrana i zebrana w roku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21</w:t>
      </w:r>
      <w:r>
        <w:rPr>
          <w:rFonts w:eastAsia="Times New Roman" w:cs="Times New Roman" w:ascii="Times New Roman" w:hAnsi="Times New Roman"/>
          <w:color w:val="00000A"/>
        </w:rPr>
        <w:t xml:space="preserve"> z terenu Gminy Olszanka przedstawia się następująco: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niesegregowane (zmieszane) odpady komunalne  o kodzie 20 03 01 – </w:t>
      </w:r>
      <w:r>
        <w:rPr>
          <w:rFonts w:eastAsia="Liberation Serif" w:cs="Liberation Serif" w:ascii="Liberation Serif" w:hAnsi="Liberation Serif"/>
        </w:rPr>
        <w:t>1 239,3000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opakowania ze szkła  o kodzie 15 01 07  –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87,9200</w:t>
      </w:r>
      <w:r>
        <w:rPr>
          <w:rFonts w:eastAsia="Times New Roman" w:cs="Times New Roman" w:ascii="Times New Roman" w:hAnsi="Times New Roman"/>
          <w:color w:val="00000A"/>
        </w:rPr>
        <w:t xml:space="preserve"> 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opakowaniowe o kodzie 15 01 06 – 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59,2700</w:t>
      </w:r>
      <w:r>
        <w:rPr>
          <w:rFonts w:eastAsia="Times New Roman" w:cs="Times New Roman" w:ascii="Times New Roman" w:hAnsi="Times New Roman"/>
          <w:color w:val="00000A"/>
        </w:rPr>
        <w:t xml:space="preserve"> Mg,  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opakowania z papieru i tektury o kodzie 15 01 01 – 23,5900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wielkogabarytowe o kodzie 20 03 07 – 100,87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kuchenne ulegające biodegradacji 20 01 08 – 348,8000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urządzenia elektryczne i elektroniczne o kodzie 20 01 36  inne niż wymienione w 20 01 21, 20 01 23 i 20 01 35 – 1,27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urządzenia elektryczne i elektroniczne o kodzie  20 01 35* inne niż wymienione w 20 01 21, 20 01 23 – 0,6000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zużyte opony o kodzie 16 01 03 –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2,7200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z budowy, remontów i demontażu o kodzie 17 09 04 inne niż wymienione w 17 09 01, 17 09 02, 17 09 03 – 41,44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z betonu, gruzu ceglanego, odpadowych materiałów ceramicznych i elementów wyposażenia inne niż wymienione w 17 01 06  - 1,92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leki o kodzie 20 01 32 – 0,0500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farby, tusze, farby drukarskie, kleje, lepiszcze i żywice zawierające substancje niebezpieczne o kodzie 20 01 27 – 0,0500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mineralne oleje silnikowe, przekładniowe i smarowe niezawierające związków chlorowcoorganicznych o kodzie 13 02 05 – 0,1200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lampy fluorescencyjne i inne odpady zawierające rtęć o kodzie 20 01 21 – 0,0050 Mg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urządzenia zawierające freony o kodzie 20 01 23 – 0,25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10.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niesegregowane (zmieszane) o kodzie 20 03 01 stanowiły w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21</w:t>
      </w:r>
      <w:r>
        <w:rPr>
          <w:rFonts w:eastAsia="Times New Roman" w:cs="Times New Roman" w:ascii="Times New Roman" w:hAnsi="Times New Roman"/>
          <w:color w:val="00000A"/>
        </w:rPr>
        <w:t xml:space="preserve"> r. większość odpadów komunalnych odbieranych w Gminie Olszanka, tj. </w:t>
      </w:r>
      <w:r>
        <w:rPr>
          <w:rFonts w:eastAsia="Liberation Serif" w:cs="Liberation Serif" w:ascii="Liberation Serif" w:hAnsi="Liberation Serif"/>
          <w:color w:val="00000A"/>
        </w:rPr>
        <w:t>1239,3000</w:t>
      </w:r>
      <w:r>
        <w:rPr>
          <w:rFonts w:eastAsia="Times New Roman" w:cs="Times New Roman" w:ascii="Times New Roman" w:hAnsi="Times New Roman"/>
          <w:color w:val="00000A"/>
        </w:rPr>
        <w:t xml:space="preserve"> Mg, czyli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61,71</w:t>
      </w:r>
      <w:r>
        <w:rPr>
          <w:rFonts w:eastAsia="Times New Roman" w:cs="Times New Roman" w:ascii="Times New Roman" w:hAnsi="Times New Roman"/>
          <w:color w:val="00000A"/>
        </w:rPr>
        <w:t xml:space="preserve"> % wszystkich odebranych i zebranych odpadów komunalnych.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kuchenne ulegające biodegradacji o kodzie 20 01 08 w 2021 r. zostały odebrane z terenu gminy  w ilości 348,8000 Mg.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 przetworzenia masy odpadów zawierających frakcje ulegające biodegradacji, powstałych po sortowaniu odpadów selektywnie odebranych, przekazanych do składowania w 2021 roku powstało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14,2654</w:t>
      </w:r>
      <w:r>
        <w:rPr>
          <w:rFonts w:eastAsia="Times New Roman" w:cs="Times New Roman" w:ascii="Times New Roman" w:hAnsi="Times New Roman"/>
          <w:color w:val="00000A"/>
        </w:rPr>
        <w:t xml:space="preserve"> Mg odpadów o kodzie 19 12 12.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Sposób zagospodarowania zebranych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lang w:val="pl-PL" w:eastAsia="pl-PL" w:bidi="ar-SA"/>
        </w:rPr>
        <w:t>odpadów komunalnych z terenu Gminy Olszanka w 2021 r. został przedstawiony w Tabeli 9.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ab/>
        <w:t>Przedstawione w tabeli sposoby zagospo</w:t>
      </w:r>
      <w:r>
        <w:rPr>
          <w:rFonts w:eastAsia="Times New Roman" w:cs="Times New Roman" w:ascii="Times New Roman" w:hAnsi="Times New Roman"/>
          <w:color w:val="00000A"/>
        </w:rPr>
        <w:t>darowania odpadów komunalnych są zgodne z procesami odzysku oraz z procesami unieszkodliwiania przedstawionymi w ustawie z dnia 14 grudnia 2012 r. o odpadach (Dz. U. 2022 r. poz. 699).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Dane zawarte w Tabeli 9 wynikają ze sprawozdań składanych przez podmioty odbierające odpady komunalne z terenu Gminy Olszanka.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bCs/>
          <w:i/>
          <w:color w:val="00000A"/>
        </w:rPr>
        <w:t>Tabela 9. Zagospodarowanie odpadów komunalnych z terenu Gminy Olszanka w 20</w:t>
      </w:r>
      <w:r>
        <w:rPr>
          <w:rFonts w:eastAsia="Times New Roman" w:cs="Times New Roman" w:ascii="Times New Roman" w:hAnsi="Times New Roman"/>
          <w:b/>
          <w:bCs/>
          <w:i/>
          <w:color w:val="00000A"/>
          <w:kern w:val="2"/>
          <w:sz w:val="24"/>
          <w:szCs w:val="24"/>
          <w:lang w:val="pl-PL" w:eastAsia="pl-PL" w:bidi="ar-SA"/>
        </w:rPr>
        <w:t xml:space="preserve">21 </w:t>
      </w:r>
      <w:r>
        <w:rPr>
          <w:rFonts w:eastAsia="Times New Roman" w:cs="Times New Roman" w:ascii="Times New Roman" w:hAnsi="Times New Roman"/>
          <w:b/>
          <w:bCs/>
          <w:i/>
          <w:color w:val="00000A"/>
        </w:rPr>
        <w:t>r.</w:t>
      </w:r>
    </w:p>
    <w:tbl>
      <w:tblPr>
        <w:tblW w:w="964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1928"/>
        <w:gridCol w:w="1928"/>
        <w:gridCol w:w="1928"/>
        <w:gridCol w:w="1928"/>
        <w:gridCol w:w="1928"/>
      </w:tblGrid>
      <w:tr>
        <w:trPr/>
        <w:tc>
          <w:tcPr>
            <w:tcW w:w="3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Sposób zagospodarowania odebranych odpadów komunalnych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Niesegregowane (zmieszane) odpady komunalne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1239,3000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R12</w:t>
            </w:r>
          </w:p>
        </w:tc>
      </w:tr>
      <w:tr>
        <w:trPr/>
        <w:tc>
          <w:tcPr>
            <w:tcW w:w="1928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 papieru i tektury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23,5900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15 01 06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opakowaniowe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159,2700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15 01 07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79,4400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R-5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23*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Urządzenia zawierające freony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0,2500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 01 27*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Farby, tusze, farby drukarskie, kleje, lepiszcze i żywice zawierające substancje niebezpieczne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0,0500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D-10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Leki inne niż wymienione w 20 01 31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0,0500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D-10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17 01 07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z betonu, gruzu ceglanego, odpadowych materiałów ceramicznych i elementów wyposażenia inne niż wymienione w  17  01 06.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1,9200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17 09 04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z budowy, remontów i demontażu inne niż wymienione w 17 09 01, 17 09 02 i 17 09 03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41,4400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35*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Zużyte urządzenia elektryczne i elektroniczne inne niż wymienione w 20 01 21 i 20 01 23 zawierające niebezpieczne składniki5)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0,6000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20 01 36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1,0500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20 03 07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wielkogabarytowe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00,8700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16 01 03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Zużyte opony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2,7200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20 01 08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kuchenne ulegające biodegradacji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348,8000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R-3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R1 -Wykorzystanie głównie jako paliwa lub innego środka wytwarzania energii.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R3 -Recykling lub odzysk substancji organicznych, które nie są stosowane jako rozpuszczalniki (w tym kompostowanie i inne biologiczne procesy przekształcania);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R4 -Recykling lub odzysk metali i związków metali;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R5-Recykling lub odzysk innych materiałów nieorganicznych;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R12 -Wymiana odpadów w celu poddania ich któremukolwiek z procesów wymienionych w pozycji R1-R11;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D5 –Składowanie na składowiskach w sposób celowo zaprojektowany (np. umieszczanie w uszczelnionych oddzielnych komorach, przykrytych i izolowanych od siebie wzajemnie i od środowiska itd.);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D10- Przekształcanie termiczne na ladzie.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agwek3"/>
        <w:spacing w:before="200" w:after="300"/>
        <w:rPr/>
      </w:pPr>
      <w:r>
        <w:rPr>
          <w:rFonts w:ascii="Times New Roman" w:hAnsi="Times New Roman"/>
          <w:i/>
          <w:color w:val="00000A"/>
        </w:rPr>
        <w:t xml:space="preserve">Tabela.10. </w:t>
      </w:r>
      <w:r>
        <w:rPr>
          <w:rFonts w:ascii="Times New Roman" w:hAnsi="Times New Roman"/>
          <w:i/>
          <w:color w:val="00000A"/>
          <w:kern w:val="0"/>
        </w:rPr>
        <w:t>Informacja o zebranych i magazynowanych odpadach komunalnych</w:t>
      </w:r>
    </w:p>
    <w:tbl>
      <w:tblPr>
        <w:tblW w:w="771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3856"/>
        <w:gridCol w:w="1928"/>
        <w:gridCol w:w="1928"/>
      </w:tblGrid>
      <w:tr>
        <w:trPr/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01 36*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00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5</w:t>
            </w:r>
            <w:r>
              <w:rPr>
                <w:rFonts w:ascii="Times New Roman" w:hAnsi="Times New Roman"/>
              </w:rPr>
              <w:t xml:space="preserve"> 01 0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9,2600 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20 01 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21*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L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kern w:val="2"/>
                <w:sz w:val="24"/>
                <w:szCs w:val="24"/>
                <w:lang w:val="pl-PL" w:eastAsia="pl-PL" w:bidi="ar-SA"/>
              </w:rPr>
              <w:t>ampy fluorescencyjne i inne odpady zawierające rtęć o kodzie 20 01 21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0,0050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02 05*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Mineralne oleje silnikowe, przekładniowe i smarowe niezawierające związków chlorowcoorgani-cznych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0,1200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</w:rPr>
        <w:t>11. Uzyskane poziomy przygotowania do ponownego użycia i recyklingu odpadów komunalnych i odzysku innymi metodami niektórych frakcji odpadów komunalnych, osiągnięte przez Gminę Olszanka w 2021 r.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Zgodnie z wymogami ustawy o utrzymaniu czystości i porządku w gminach, gminy obowiązane są: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1) osiągnąć poziom przygotowania do ponownego użycia i recyklingu odpadów komunalnych w wysokości co najmniej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  <w:bCs/>
        </w:rPr>
        <w:t>0%</w:t>
      </w:r>
      <w:r>
        <w:rPr>
          <w:rFonts w:ascii="Times New Roman" w:hAnsi="Times New Roman"/>
        </w:rPr>
        <w:t xml:space="preserve"> wagowo – za rok 2021;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Ograniczyć masę odpadów komunalnych ulegających biodegradacji przekazanych do składowania 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a) do dnia 16 lipca 2013r. – do nie więcej niż 50 % wagowo całkowitej masy odpadów komunalnych ulegających biodegradacji przekazanych do składowania,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do dnia 16 lipca 2020r. – do nie więcej niż 35 % wagowo całkowitej masy odpadów komunalnych ulegających biodegradacji przekazanych do składowania  w stosunku do masy odpadów wytworzonych w 1995r.  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Szczegóły dotyczące ograniczenia masy odpadów komunalnych ulegających biodegradacji przekazywanych do składowania, oraz do osiągnięcia poziomów recyklingu, przygotowania do ponownego użycia i odzysku innymi metodami niektórych frakcji odpadów komunalnych, jak również sposoby ich obliczania, określają: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a) </w:t>
      </w:r>
      <w:bookmarkStart w:id="0" w:name="__DdeLink__6525_90560425"/>
      <w:r>
        <w:rPr>
          <w:rFonts w:eastAsia="Times New Roman" w:cs="Times New Roman" w:ascii="Times New Roman" w:hAnsi="Times New Roman"/>
          <w:color w:val="00000A"/>
        </w:rPr>
        <w:t>Rozporządzenie Ministra</w:t>
      </w:r>
      <w:bookmarkEnd w:id="0"/>
      <w:r>
        <w:rPr>
          <w:rFonts w:eastAsia="Times New Roman" w:cs="Times New Roman" w:ascii="Times New Roman" w:hAnsi="Times New Roman"/>
          <w:color w:val="00000A"/>
        </w:rPr>
        <w:t xml:space="preserve"> Środowiska z dnia z dnia 15 grudnia 2017 r. w sprawie poziomów ograniczenia składowania masy odpadów komunalnych ulegających biodegradacji (Dz. U. z 2017 r. poz. 2412),</w:t>
      </w:r>
    </w:p>
    <w:p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Rozporządzenie Ministra klimatu i Środowiska </w:t>
      </w:r>
      <w:r>
        <w:rPr>
          <w:rFonts w:ascii="Times New Roman" w:hAnsi="Times New Roman"/>
        </w:rPr>
        <w:t xml:space="preserve">z dnia 3 sierpnia 2021 r. w sprawie sposobu obliczania poziomów przygotowania do ponownego użycia i recyklingu odpadów komunalnych </w:t>
      </w:r>
      <w:r>
        <w:rPr>
          <w:rFonts w:eastAsia="Times New Roman" w:cs="Times New Roman" w:ascii="Times New Roman" w:hAnsi="Times New Roman"/>
          <w:color w:val="00000A"/>
        </w:rPr>
        <w:t>(Dz. U. z 2021 r. poz. 1530);</w:t>
      </w:r>
    </w:p>
    <w:p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>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3) Gminy są obowiązane nie przekraczać poziomu składowania w wysokości:</w:t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1) 30% wagowo – za każdy rok w latach 2025–2029;</w:t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2) 20% wagowo – za każdy rok w latach 2030–2034;</w:t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3) 10% wagowo – w 2035 r. i za każdy kolejny rok w latach następnych.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Osiągnięte przez Gminę Olszanka w roku 2021 poziomy przedstawiają się następująco: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1. Osiągnięty poziom ograniczenia masy odpadów komunalnych ulegających biodegradacji przekazywanych do składowania wynosi </w:t>
      </w:r>
      <w:r>
        <w:rPr>
          <w:rFonts w:eastAsia="Times New Roman" w:cs="Times New Roman" w:ascii="Times New Roman" w:hAnsi="Times New Roman"/>
          <w:b/>
          <w:color w:val="00000A"/>
          <w:kern w:val="2"/>
          <w:sz w:val="24"/>
          <w:szCs w:val="24"/>
          <w:lang w:val="pl-PL" w:eastAsia="pl-PL" w:bidi="ar-SA"/>
        </w:rPr>
        <w:t>2,53</w:t>
      </w:r>
      <w:r>
        <w:rPr>
          <w:rFonts w:eastAsia="Times New Roman" w:cs="Times New Roman" w:ascii="Times New Roman" w:hAnsi="Times New Roman"/>
          <w:b/>
          <w:color w:val="00000A"/>
        </w:rPr>
        <w:t xml:space="preserve">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poziom ograniczenia masy odpadów komunalnych ulegających biodegradacji przekazywanych do składowania powinien wynosić ≤ 35%.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2.</w:t>
      </w:r>
      <w:r>
        <w:rPr>
          <w:rFonts w:cs="Times New Roman" w:ascii="Times New Roman" w:hAnsi="Times New Roman"/>
        </w:rPr>
        <w:t xml:space="preserve"> Osiągnięty </w:t>
      </w:r>
      <w:r>
        <w:rPr>
          <w:rFonts w:eastAsia="Times New Roman" w:cs="Times New Roman" w:ascii="Times New Roman" w:hAnsi="Times New Roman"/>
          <w:color w:val="00000A"/>
        </w:rPr>
        <w:t>poziom przygotowania do ponownego użycia i recyklingu odpadów komunalnych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A"/>
        </w:rPr>
        <w:t xml:space="preserve">wynosi </w:t>
      </w:r>
      <w:r>
        <w:rPr>
          <w:rFonts w:eastAsia="Times New Roman" w:cs="Times New Roman" w:ascii="Times New Roman" w:hAnsi="Times New Roman"/>
          <w:b/>
          <w:color w:val="00000A"/>
          <w:kern w:val="2"/>
          <w:sz w:val="24"/>
          <w:szCs w:val="24"/>
          <w:lang w:val="pl-PL" w:eastAsia="pl-PL" w:bidi="ar-SA"/>
        </w:rPr>
        <w:t>34,99</w:t>
      </w:r>
      <w:r>
        <w:rPr>
          <w:rFonts w:eastAsia="Times New Roman" w:cs="Times New Roman" w:ascii="Times New Roman" w:hAnsi="Times New Roman"/>
          <w:b/>
          <w:color w:val="00000A"/>
        </w:rPr>
        <w:t xml:space="preserve">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w 2021 r. poziom przygotowania do ponownego użycia i recyklingu odpadów komunalnych za rok 2021 powinien wynosić co najmniej 2</w:t>
      </w:r>
      <w:r>
        <w:rPr>
          <w:rFonts w:eastAsia="Times New Roman" w:cs="Times New Roman" w:ascii="Times New Roman" w:hAnsi="Times New Roman"/>
          <w:b/>
          <w:bCs/>
          <w:color w:val="00000A"/>
        </w:rPr>
        <w:t>0%</w:t>
      </w:r>
      <w:r>
        <w:rPr>
          <w:rFonts w:eastAsia="Times New Roman" w:cs="Times New Roman" w:ascii="Times New Roman" w:hAnsi="Times New Roman"/>
          <w:color w:val="00000A"/>
        </w:rPr>
        <w:t xml:space="preserve"> wagowo.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3.Osiągnięty poziom recyklingu, przygotowania do ponownego użycia i odzysku innymi metodami innych niż niebezpieczne odpadów budowlanych i rozbiórkowych wynosi </w:t>
      </w:r>
      <w:r>
        <w:rPr>
          <w:rFonts w:eastAsia="Times New Roman" w:cs="Times New Roman" w:ascii="Times New Roman" w:hAnsi="Times New Roman"/>
          <w:b/>
          <w:color w:val="00000A"/>
        </w:rPr>
        <w:t>100 %</w:t>
      </w:r>
      <w:r>
        <w:rPr>
          <w:rFonts w:eastAsia="Times New Roman" w:cs="Times New Roman" w:ascii="Times New Roman" w:hAnsi="Times New Roman"/>
          <w:color w:val="00000A"/>
        </w:rPr>
        <w:t>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4. Osiągnięty poziom składowania odpadów komunalnych i odpadów pochodzących z przetwarzania odpadów komunalnych za 2021 rok wynosi </w:t>
      </w:r>
      <w:r>
        <w:rPr>
          <w:rFonts w:eastAsia="Times New Roman" w:cs="Times New Roman" w:ascii="Times New Roman" w:hAnsi="Times New Roman"/>
          <w:b/>
          <w:bCs/>
          <w:color w:val="00000A"/>
        </w:rPr>
        <w:t>0,00 %.</w:t>
      </w:r>
    </w:p>
    <w:p>
      <w:pPr>
        <w:pStyle w:val="Tretekstu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Treteks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jc w:val="both"/>
        <w:rPr/>
      </w:pPr>
      <w:r>
        <w:rPr>
          <w:rFonts w:ascii="Times New Roman" w:hAnsi="Times New Roman"/>
          <w:b/>
        </w:rPr>
        <w:t xml:space="preserve">12. Masa odpadów komunalnych wytworzonych na terenie Gminy Olszanka przekazanych do termicznego przekształcania oraz </w:t>
      </w:r>
      <w:bookmarkStart w:id="1" w:name="__DdeLink__1665_1347161873"/>
      <w:r>
        <w:rPr>
          <w:rFonts w:ascii="Times New Roman" w:hAnsi="Times New Roman"/>
          <w:b/>
        </w:rPr>
        <w:t>stosunek masy odpadów komunalnych przekazanych do termicznego przekształcania do masy odpadów komunalnych wytworzonych na terenie gminy.</w:t>
      </w:r>
      <w:bookmarkEnd w:id="1"/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Masa odpadów komunalnych wytworzonych na terenie gminy Olszanka przekazanych do termicznego przekształcania w wyniku procesu D-10 wynosi - </w:t>
      </w:r>
      <w:r>
        <w:rPr>
          <w:rFonts w:ascii="Times New Roman" w:hAnsi="Times New Roman"/>
          <w:b/>
          <w:bCs/>
        </w:rPr>
        <w:t>0,1000 Mg.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Stosunek masy odpadów komunalnych przekazanych do termicznego przekształcania do masy odpadów komunalnych wytworzonych na terenie gminy wynosi -</w:t>
      </w:r>
      <w:r>
        <w:rPr>
          <w:rFonts w:ascii="Times New Roman" w:hAnsi="Times New Roman"/>
          <w:b/>
          <w:bCs/>
        </w:rPr>
        <w:t xml:space="preserve"> 0,005 %.</w:t>
      </w:r>
    </w:p>
    <w:p>
      <w:pPr>
        <w:pStyle w:val="Tretekstu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>13. Wnioski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Roczna analiza stanu gospodarki odpadami komunalnymi za rok 2021 z terenu Gminy Olszanka została opracowana w celu określenia możliwości technicznych i organizacyjnych gminy w zakresie gospodarowania odpadami komunalnymi. Analiza ta ma na celu dostarczyć informacji o liczbie mieszkańców, liczbie właścicieli nieruchomości objętych systemem gospodarowania odpadami komunalnymi oraz istotnych informacji dla stworzenia najbardziej efektywnego ekonomicznie systemu gospodarki odpadami komunalnymi. Gmina Olszanka wdrożyła i realizuje przyjęte obowiązki w zakresie gospodarki odpadami komunalnymi  tj.: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objęła zbiórką odpadów komunalnych nieruchomości zamieszkałe,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- nadzoruje gospodarowanie odpadami komunalnymi,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ustanowiła selektywne zbieranie następujących frakcji odpadów komunalnych : papieru, metali, tworzyw sztucznych, szkła, odpadów opakowaniowych wielomateriałowych oraz bioodpadów;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utworzyła PSZOK, który znajduje się w Gierszowicach,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prowadzi działania edukacyjne w zakresie prawidłowego gospodarowania odpadami komunalnymi poprzez rozprzestrzenianie ulotek informacyjnych i propagowania akcji sprzątania świata;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udostępnia wymagane ustawą informacje na stronie internetowej urzędu,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dokonuje corocznej analizy stanu gospodarki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Wójt Gminy Olszanka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/-/ Aneta Rabczewska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Nagwek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Times New Roman" w:cs="Times New Roman"/>
      <w:b/>
      <w:bCs/>
      <w:color w:val="4F81BD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A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A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A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A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00000A"/>
    </w:rPr>
  </w:style>
  <w:style w:type="character" w:styleId="Domylnaczcionkaakapitu">
    <w:name w:val="Domyślna czcionka akapitu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A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odytext">
    <w:name w:val="bodytext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s://samorzad.gov.pl/web/gmina-olszank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LibreOffice/6.0.2.1$Windows_x86 LibreOffice_project/f7f06a8f319e4b62f9bc5095aa112a65d2f3ac89</Application>
  <Pages>20</Pages>
  <Words>6209</Words>
  <Characters>42211</Characters>
  <CharactersWithSpaces>48062</CharactersWithSpaces>
  <Paragraphs>629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2020-11-30T16:02:00Z</dcterms:created>
  <dc:creator>Patrycja</dc:creator>
  <dc:description/>
  <dc:language>pl-PL</dc:language>
  <cp:lastModifiedBy/>
  <cp:lastPrinted>2022-04-26T11:51:32Z</cp:lastPrinted>
  <dcterms:modified xsi:type="dcterms:W3CDTF">2022-04-28T10:38:39Z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