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3022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176/402/2023</w:t>
      </w:r>
      <w:r>
        <w:rPr>
          <w:b/>
          <w:caps/>
        </w:rPr>
        <w:br/>
        <w:t>Zarządu Powiatu Hajnowskiego</w:t>
      </w:r>
    </w:p>
    <w:p w:rsidR="00A77B3E" w:rsidRDefault="00530224">
      <w:pPr>
        <w:spacing w:before="280" w:after="280"/>
        <w:jc w:val="center"/>
        <w:rPr>
          <w:b/>
          <w:caps/>
        </w:rPr>
      </w:pPr>
      <w:r>
        <w:t>z dnia 2 sierpnia 2023 r.</w:t>
      </w:r>
    </w:p>
    <w:p w:rsidR="00A77B3E" w:rsidRDefault="00530224">
      <w:pPr>
        <w:keepNext/>
        <w:spacing w:after="480"/>
        <w:jc w:val="center"/>
      </w:pPr>
      <w:r>
        <w:rPr>
          <w:b/>
        </w:rPr>
        <w:t>w sprawie ogłoszenia naboru wniosków o udzielenie dotacji z dofinansowaniem</w:t>
      </w:r>
      <w:r>
        <w:rPr>
          <w:b/>
        </w:rPr>
        <w:br/>
        <w:t xml:space="preserve">z drugiej edycji Rządowego Programu Odbudowy Zabytków na prace konserwatorskie, restauratorskie lub </w:t>
      </w:r>
      <w:r>
        <w:rPr>
          <w:b/>
        </w:rPr>
        <w:t>roboty budowlane przy zabytkach wpisanych do rejestru lub ewidencji zabytków położonych lub znajdujących się na obszarze powiatu hajnowskiego</w:t>
      </w:r>
    </w:p>
    <w:p w:rsidR="00A77B3E" w:rsidRDefault="00530224">
      <w:pPr>
        <w:keepLines/>
        <w:spacing w:before="120" w:after="120"/>
        <w:ind w:firstLine="227"/>
      </w:pPr>
      <w:r>
        <w:t>Na podstawie art. 32 ust. 1 ustawy z dnia 5 czerwca 1998 r. o samorządzie powiatowym (t.j. Dz. U. z 2022 r. poz. 1</w:t>
      </w:r>
      <w:r>
        <w:t>526 z późn. zm.) w związku z § 3 pkt 1 i pkt 2 uchwały Nr XXXIII/270/2023 Rady Powiatu Hajnowskiego z dnia 9 lutego 2023 r. w sprawie określenia zasad udzielania dotacji na prace konserwatorskie, restauratorskie lub roboty budowlane przy zabytkach wpisanyc</w:t>
      </w:r>
      <w:r>
        <w:t>h do rejestru lub ewidencji zabytków położonych lub znajdujących się na obszarze powiatu hajnowskiego (Dz. Urz. Woj. Podl. z 2023 r. poz. 796) Zarząd Powiatu Hajnowskiego uchwala, co następuje: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Ogłasza się nabór wniosków o udzielenie dotacji z dofi</w:t>
      </w:r>
      <w:r>
        <w:t>nansowaniem z drugiej edycji Rządowego Programu Odbudowy Zabytków na prace konserwatorskie, restauratorskie lub roboty budowlane przy zabytkach wpisanych do rejestru lub ewidencji zabytków położonych lub znajdujących się na obszarze powiatu hajnowskiego.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Treść ogłoszenia o naborze wniosków stanowi załącznik do niniejszej uchwały.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Ogłoszenie, o którym mowa w § 1 ust. 2 zamieszczone zostanie w Biuletynie Informacji Publicznej, na stronie internetowej oraz na tablicy ogłoszeń Starostwa Powiatowego w Ha</w:t>
      </w:r>
      <w:r>
        <w:rPr>
          <w:color w:val="000000"/>
          <w:u w:color="000000"/>
        </w:rPr>
        <w:t>jnówce.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Staroście Hajnowskiemu.</w:t>
      </w:r>
    </w:p>
    <w:p w:rsidR="00A77B3E" w:rsidRDefault="0053022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3022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E231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313" w:rsidRDefault="0053022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Joanna Kojło</w:t>
            </w:r>
          </w:p>
          <w:p w:rsidR="00BE2313" w:rsidRDefault="0053022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Członek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Jarosław Gerasimiuk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313" w:rsidRDefault="0053022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 Hajnowski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Andrzej Skiepko</w:t>
            </w:r>
          </w:p>
          <w:p w:rsidR="00BE2313" w:rsidRDefault="0053022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Członek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Roman Ostapczuk</w:t>
            </w:r>
          </w:p>
          <w:p w:rsidR="00BE2313" w:rsidRDefault="0053022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Członek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Olga Rygorowicz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530224">
      <w:pPr>
        <w:keepNext/>
        <w:spacing w:before="120" w:after="120" w:line="360" w:lineRule="auto"/>
        <w:ind w:left="555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176/402/2023</w:t>
      </w:r>
      <w:r>
        <w:rPr>
          <w:color w:val="000000"/>
          <w:u w:color="000000"/>
        </w:rPr>
        <w:br/>
        <w:t xml:space="preserve">Zarządu Powiatu </w:t>
      </w:r>
      <w:r>
        <w:rPr>
          <w:color w:val="000000"/>
          <w:u w:color="000000"/>
        </w:rPr>
        <w:t>Hajnowskiego</w:t>
      </w:r>
      <w:r>
        <w:rPr>
          <w:color w:val="000000"/>
          <w:u w:color="000000"/>
        </w:rPr>
        <w:br/>
        <w:t>z dnia 2 sierpnia 2023 r.</w:t>
      </w:r>
    </w:p>
    <w:p w:rsidR="00A77B3E" w:rsidRDefault="0053022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</w:t>
      </w:r>
    </w:p>
    <w:p w:rsidR="00A77B3E" w:rsidRDefault="00530224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uchwałą nr 232/2022 Rady Ministrów z dnia 23 listopada 2022 r.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w sprawie Rządowego Programu Odbudowy Zabytków oraz uchwałą Nr XXXIII/270/2023 Rady Powiatu Hajnowskiego z dnia 9 lutego 2023 r. w sprawie określenia zasad udzielania dotacji na prace konserwatorskie, restauratorskie lub roboty budowlane przy zabytkach wpi</w:t>
      </w:r>
      <w:r>
        <w:rPr>
          <w:color w:val="000000"/>
          <w:u w:color="000000"/>
        </w:rPr>
        <w:t>sanych do rejestru lub ewidencji zabytków położonych lub znajdujących się na obszarze powiatu hajnowskiego (Dz. Urz. Woj. Podl. z 2023 r. poz. 796) Zarząd Powiatu Hajnowskiego ogłasza nabór wniosków o udzielenie dotacji z dofinansowaniem z drugiej edycji R</w:t>
      </w:r>
      <w:r>
        <w:rPr>
          <w:color w:val="000000"/>
          <w:u w:color="000000"/>
        </w:rPr>
        <w:t>ządowego Programu Odbudowy Zabytków na prace konserwatorskie, restauratorskie lub roboty budowlane przy zabytkach wpisanych do rejestru lub ewidencji zabytków położonych lub znajdujących się na obszarze powiatu hajnowskiego.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Dotacja może być udzielona p</w:t>
      </w:r>
      <w:r>
        <w:rPr>
          <w:color w:val="000000"/>
          <w:u w:color="000000"/>
        </w:rPr>
        <w:t>odmiotowi, który posiada tytuł prawny do zabytku wynikający z prawa własności zabytku, użytkowania wieczystego, ograniczonego prawa rzeczowego, trwałego zarządu albo stosunku zobowiązaniowego.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 może obejmować wyłącznie dofinansowanie nakładów kon</w:t>
      </w:r>
      <w:r>
        <w:rPr>
          <w:color w:val="000000"/>
          <w:u w:color="000000"/>
        </w:rPr>
        <w:t>iecznych na wykonanie prac konserwatorskich, restauratorskich lub robót budowlanych w zakresie określonym w art. 77 ustawy z dnia 23 lipca 2003 r. o ochronie zabytków i opiece nad zabytkami (t.j. Dz. U. z 2022 r. poz. 840), ustalonych na podstawie przedłoż</w:t>
      </w:r>
      <w:r>
        <w:rPr>
          <w:color w:val="000000"/>
          <w:u w:color="000000"/>
        </w:rPr>
        <w:t>onego do wniosku o dotację kosztorysu.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Dotacja, dofinansowana z Rządowego Programu Odbudowy Zabytków, po uzyskaniu ww. dofinansowania przez Powiat Hajnowski, może być udzielona w wysokości do 100% kosztów kwalifikowanych wynikających z kosztorysu z zast</w:t>
      </w:r>
      <w:r>
        <w:rPr>
          <w:color w:val="000000"/>
          <w:u w:color="000000"/>
        </w:rPr>
        <w:t>rzeżeniem, że wnioskowana kwota dotacji nie może być wyższa niż 3 500 000 zł, w tym z Rządowego Programu Odbudowy Zabytków – do 98% kwoty dotacji oraz z budżetu powiatu – do 2% dotacji.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Dotacja może być przeznaczona wyłącznie na prace lub roboty określo</w:t>
      </w:r>
      <w:r>
        <w:rPr>
          <w:color w:val="000000"/>
          <w:u w:color="000000"/>
        </w:rPr>
        <w:t>ne w umowie</w:t>
      </w:r>
      <w:r>
        <w:rPr>
          <w:color w:val="000000"/>
          <w:u w:color="000000"/>
        </w:rPr>
        <w:br/>
        <w:t>o udzielenie dotacji, bez możliwości finansowania kosztów stałych działalności Wnioskodawcy, ani zakupów i zadań inwestycyjnych oraz prac remontowo-budowlanych wykraczających poza zadania określone w umowie.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Podmioty, o których mowa w pkt 1,</w:t>
      </w:r>
      <w:r>
        <w:rPr>
          <w:color w:val="000000"/>
          <w:u w:color="000000"/>
        </w:rPr>
        <w:t xml:space="preserve"> zainteresowane otrzymaniem dotacji, składają wniosek o udzielenie dotacji zgodnie ze wzorem stanowiącym załącznik do uchwały Nr XXXIII/270/2023 Rady Powiatu Hajnowskiego z dnia 9 lutego 2023 r. w sprawie określenia zasad udzielania dotacji na prace konser</w:t>
      </w:r>
      <w:r>
        <w:rPr>
          <w:color w:val="000000"/>
          <w:u w:color="000000"/>
        </w:rPr>
        <w:t>watorskie, restauratorskie lub roboty budowlane przy zabytkach wpisanych do rejestru lub ewidencji zabytków położonych lub znajdujących się na obszarze powiatu hajnowskiego (Dz. Urz. Woj. Podl. z 2023 r. poz. 796).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Wnioski należy składać do Zarządu Powi</w:t>
      </w:r>
      <w:r>
        <w:rPr>
          <w:color w:val="000000"/>
          <w:u w:color="000000"/>
        </w:rPr>
        <w:t xml:space="preserve">atu Hajnowskiego w terminie </w:t>
      </w:r>
      <w:r>
        <w:rPr>
          <w:b/>
          <w:color w:val="000000"/>
          <w:u w:color="000000"/>
        </w:rPr>
        <w:t>do 7 sierpnia 2023 r. do godz. 15.30</w:t>
      </w:r>
      <w:r>
        <w:rPr>
          <w:color w:val="000000"/>
          <w:u w:color="000000"/>
        </w:rPr>
        <w:t>. O terminie złożenia wniosku decyduje data wpływu do Starostwa Powiatowego w Hajnówce, ul. Aleksego Zina 1, 17-200 Hajnówka.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 wniosku należy dołączyć aktualne załączniki: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decyzję </w:t>
      </w:r>
      <w:r>
        <w:rPr>
          <w:color w:val="000000"/>
          <w:u w:color="000000"/>
        </w:rPr>
        <w:t>o wpisie zabytku do rejestru lub ewidencji zabytków;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dokument potwierdzający posiadanie tytułu prawnego do zabytku;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pozwolenie właściwego konserwatora zabytków na wykonanie prac, które mają być przedmiotem dotacji;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pozwolenie na budowę lub potwier</w:t>
      </w:r>
      <w:r>
        <w:rPr>
          <w:color w:val="000000"/>
          <w:u w:color="000000"/>
        </w:rPr>
        <w:t>dzenie zgłoszenia robót budowlanych, jeśli prowadzone prace, które mają być przedmiotem dotacji, wymagają takiego postępowania na podstawie przepisów Prawa budowlanego;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zgodę właściciela zabytku nieruchomego lub użytkownika wieczystego nieruchomości gru</w:t>
      </w:r>
      <w:r>
        <w:rPr>
          <w:color w:val="000000"/>
          <w:u w:color="000000"/>
        </w:rPr>
        <w:t>ntowej na przeprowadzenie prac objętych wnioskiem, w przypadku gdy wnioskodawcą jest współwłaściciel, dzierżawca lub jednostka organizacyjna, na rzecz której ustanowiony jest trwały zarząd;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uchwały w sprawie wyrażenia zgody na przeprowadzenie prac objęt</w:t>
      </w:r>
      <w:r>
        <w:rPr>
          <w:color w:val="000000"/>
          <w:u w:color="000000"/>
        </w:rPr>
        <w:t>ych wnioskiem oraz upoważnienia zarządu do złożenia wniosku o udzielenie dotacji celowej na prace przy zabytku wpisanym do rejestru lub ewidencji zabytków, w przypadku gdy wnioskodawcą jest wspólnota mieszkaniowa;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dokument potwierdzający sposób reprezen</w:t>
      </w:r>
      <w:r>
        <w:rPr>
          <w:color w:val="000000"/>
          <w:u w:color="000000"/>
        </w:rPr>
        <w:t>tacji wnioskodawcy, w przypadku gdy wnioskodawcą jest osoba prawna;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pełnomocnictwo, w przypadku gdy wnioskodawca reprezentowany jest przez przedstawiciela;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kosztorys inwestorski planowanych prac lub robót;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dokumentację fotograficzną stanu zachowa</w:t>
      </w:r>
      <w:r>
        <w:rPr>
          <w:color w:val="000000"/>
          <w:u w:color="000000"/>
        </w:rPr>
        <w:t>nia zabytku (max. 10 zdjęć) wykonaną nie wcześniej niż 3 miesiące przed dniem ogłoszenia naboru.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Wszystkie załączniki do wniosku będące kopiami dokumentów muszą być potwierdzone za zgodność z oryginałem przez Wnioskodawcę lub osobę upoważnioną do reprez</w:t>
      </w:r>
      <w:r>
        <w:rPr>
          <w:color w:val="000000"/>
          <w:u w:color="000000"/>
        </w:rPr>
        <w:t>entowania Wnioskodawcy.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przypadku Wnioskodawcy prowadzącego działalność gospodarczą lub działalność rolniczą, dotacja stanowić będzie odpowiednio pomoc de minimis lub pomoc de minimis w rolnictwie, a jej udzielenie następuje zgodnie z: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rozporządzen</w:t>
      </w:r>
      <w:r>
        <w:rPr>
          <w:color w:val="000000"/>
          <w:u w:color="000000"/>
        </w:rPr>
        <w:t>iem Komisji (UE) Nr 1407/2013 z dnia 18 grudnia 2013 r. w sprawie stosowania art. 107 i 108 Traktatu o funkcjonowaniu Unii Europejskiej do pomocy de minimis (Dz. U. UE L 352/1 z 24.12.2013 r.), zmienionym rozporządzeniem Komisji (UE) 2020/972 z dnia 2 lipc</w:t>
      </w:r>
      <w:r>
        <w:rPr>
          <w:color w:val="000000"/>
          <w:u w:color="000000"/>
        </w:rPr>
        <w:t>a 2020 r. zmieniającego rozporządzenie (UE) nr 1407/2013 w odniesieniu do jego przedłużenia oraz zmieniającego rozporządzenie (UE) nr 651/2014 w odniesieniu do jego przedłużenia i odpowiednich dostosowań (Dz. U. UE L 215/3 z 7.07.2020);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rozporządzeniem </w:t>
      </w:r>
      <w:r>
        <w:rPr>
          <w:color w:val="000000"/>
          <w:u w:color="000000"/>
        </w:rPr>
        <w:t>Komisji (UE) Nr 1408/2013 z dnia 18 grudnia 2013 r. w sprawie stosowania art. 107 i 108 Traktatu o funkcjonowaniu Unii Europejskiej do pomocy de minimis w sektorze rolnym (Dz. U. UE L 352/9 z 24.12.2013 r.), zmienionym rozporządzeniem Komisji (UE) 2019/316</w:t>
      </w:r>
      <w:r>
        <w:rPr>
          <w:color w:val="000000"/>
          <w:u w:color="000000"/>
        </w:rPr>
        <w:t xml:space="preserve"> z dnia 21 lutego 2019 r. zmieniającego rozporządzenie (UE) nr 1408/2013 w sprawie stosowania art. 107 i 108 Traktatu o funkcjonowaniu Unii Europejskiej do pomocy de minimis w sektorze rolnym (Dz. U. UE LI 51/1 z 22.02.2019 r.).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przypadku przekroczen</w:t>
      </w:r>
      <w:r>
        <w:rPr>
          <w:color w:val="000000"/>
          <w:u w:color="000000"/>
        </w:rPr>
        <w:t>ia dopuszczalnego pułapu pomocy de minimis lub/i poziomu dopuszczalnej intensywności pomocy dotacja nie zostanie udzielona.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 przypadku ubiegania się o pomoc de minimis, Wnioskodawca wraz z wnioskiem</w:t>
      </w:r>
      <w:r>
        <w:rPr>
          <w:color w:val="000000"/>
          <w:u w:color="000000"/>
        </w:rPr>
        <w:br/>
        <w:t>o udzielenie dotacji jest zobowiązany do przedstawie</w:t>
      </w:r>
      <w:r>
        <w:rPr>
          <w:color w:val="000000"/>
          <w:u w:color="000000"/>
        </w:rPr>
        <w:t>nia podmiotowi udzielającemu pomocy, wraz z wnioskiem o udzielenie pomocy: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wszystkich zaświadczeń o pomocy de minimis oraz pomocy de minimis w rolnictwie lub rybołówstwie, jakie otrzymał w roku, w którym ubiega się o pomoc, oraz w ciągu 2 poprzedzającyc</w:t>
      </w:r>
      <w:r>
        <w:rPr>
          <w:color w:val="000000"/>
          <w:u w:color="000000"/>
        </w:rPr>
        <w:t>h go lat podatkowych, albo oświadczenia o wielkości tej pomocy otrzymanej w tym okresie, albo oświadczenia o nieotrzymaniu takiej pomocy w tym okresie;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informacji określonych w rozporządzeniu Rady Ministrów z dnia 29 marca 2010 r. w sprawie zakresu info</w:t>
      </w:r>
      <w:r>
        <w:rPr>
          <w:color w:val="000000"/>
          <w:u w:color="000000"/>
        </w:rPr>
        <w:t>rmacji przedstawianych przez podmiot ubiegający się o pomoc de minimis (Dz. U. z 2010 r. Nr 53, poz. 311 ze zm.);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informacji określonych w rozporządzeniu Rady Ministrów z dnia 11 czerwca 2010 r. w sprawie informacji składanych przez podmioty ubiegające </w:t>
      </w:r>
      <w:r>
        <w:rPr>
          <w:color w:val="000000"/>
          <w:u w:color="000000"/>
        </w:rPr>
        <w:t>się o pomoc de minimis w rolnictwie lub rybołówstwie (Dz. U. z 2010 r. Nr 121 poz. 810).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Złożenie wniosku nie jest równoznaczne z przyznaniem dotacji, ani przyznaniem dotacji</w:t>
      </w:r>
    </w:p>
    <w:p w:rsidR="00A77B3E" w:rsidRDefault="0053022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we wnioskowanej wysokości. Wnioskodawcy nie przysługuje roszczenie o przyznan</w:t>
      </w:r>
      <w:r>
        <w:rPr>
          <w:color w:val="000000"/>
          <w:u w:color="000000"/>
        </w:rPr>
        <w:t>ie dotacji.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Dokumentacja wniosków nie podlega zwrotowi.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Złożone wnioski pozostają bez rozpoznania w przypadku: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złożenia wniosku po terminie;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złożenia wniosku przez podmiot nieuprawniony;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 xml:space="preserve">złożenia wniosku bez wymaganych załączników lub </w:t>
      </w:r>
      <w:r>
        <w:rPr>
          <w:color w:val="000000"/>
          <w:u w:color="000000"/>
        </w:rPr>
        <w:t>wypełnionego nieprawidłowo;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złożenia wniosku niezgodnie z limitem określonym w pkt. 3.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Złożone wnioski o udzielenie dotacji podlegają ocenie pod względem formalnym</w:t>
      </w:r>
      <w:r>
        <w:rPr>
          <w:color w:val="000000"/>
          <w:u w:color="000000"/>
        </w:rPr>
        <w:br/>
        <w:t xml:space="preserve">i merytorycznym przez Komisję Opiniującą powołaną przez Zarząd Powiatu Hajnowskiego, </w:t>
      </w:r>
      <w:r>
        <w:rPr>
          <w:color w:val="000000"/>
          <w:u w:color="000000"/>
        </w:rPr>
        <w:t>zwaną dalej „Komisją”. Komisja przedstawi Zarządowi Powiatu Hajnowskiego opinię w zakresie złożonych wniosków. Komisja opiniując wnioski stosuje następujące kryteria: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znaczenie zabytku dla dziedzictwa kulturowego ze szczególnym uwzględnieniem jego warto</w:t>
      </w:r>
      <w:r>
        <w:rPr>
          <w:color w:val="000000"/>
          <w:u w:color="000000"/>
        </w:rPr>
        <w:t>ści historycznej, naukowej lub artystycznej;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dostępność zabytku dla społeczeństwa;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aktualny stan zachowania i zagrożenia zabytku;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zakres i koszt realizacji planowanych prac;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zaangażowanie finansowe Wnioskodawcy, a także wskazane inne źródła fin</w:t>
      </w:r>
      <w:r>
        <w:rPr>
          <w:color w:val="000000"/>
          <w:u w:color="000000"/>
        </w:rPr>
        <w:t>ansowania prac lub robót;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poniesione przez Wnioskodawcę nakłady konieczne na wykonanie prac przy danym zabytku.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Wyboru wniosków zakwalifikowanych do złożenia do dofinansowania w Rządowym Programie Odbudowy Zabytków dokona Zarząd Powiatu Hajnowskiego</w:t>
      </w:r>
      <w:r>
        <w:rPr>
          <w:color w:val="000000"/>
          <w:u w:color="000000"/>
        </w:rPr>
        <w:t>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Dotacja z dofinansowaniem z Rządowego Programu Odbudowy Zabytków może zostać udzielona pod warunkiem otrzymania promesy wstępnej – zapewnienia dofinansowania z tego programu danej inwestycji. Zarząd Powiatu Hajnowskiego po otrzymaniu promesy wstępnej</w:t>
      </w:r>
      <w:r>
        <w:rPr>
          <w:color w:val="000000"/>
          <w:u w:color="000000"/>
        </w:rPr>
        <w:t xml:space="preserve"> przedłoży rekomendacje w sprawie udzielenia dotacji Radzie Powiatu Hajnowskiego, która podejmie w tej sprawie uchwałę określającą: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podmiot otrzymujący dotację;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nazwę zabytku;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nazwę zadania objętego dotacją;</w:t>
      </w:r>
    </w:p>
    <w:p w:rsidR="00A77B3E" w:rsidRDefault="0053022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kwotę przyznanej dotacji.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Uchwał</w:t>
      </w:r>
      <w:r>
        <w:rPr>
          <w:color w:val="000000"/>
          <w:u w:color="000000"/>
        </w:rPr>
        <w:t>a Rady Powiatu Hajnowskiego w sprawie udzielenia dotacji stanowić będzie podstawę do zawarcia umowy z Wnioskodawcą.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Informacja o przyznaniu lub odmowie przyznania dotacji zostanie podana do publicznej wiadomości poprzez umieszczenie: na stronie interne</w:t>
      </w:r>
      <w:r>
        <w:rPr>
          <w:color w:val="000000"/>
          <w:u w:color="000000"/>
        </w:rPr>
        <w:t>towej i BIP oraz na tablicy ogłoszeń w siedzibie Starostwa.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Szczegółowe informacje na temat Rządowego Programu Odbudowy Zabytków znajdują się na stronie internetowej Banku Gospodarstwa Krajowego: https://www.bgk.pl/programy-i-fundusze/programy/rzadowy-</w:t>
      </w:r>
      <w:r>
        <w:rPr>
          <w:color w:val="000000"/>
          <w:u w:color="000000"/>
        </w:rPr>
        <w:t>program-odbudowy-zabytkow/.</w:t>
      </w:r>
    </w:p>
    <w:p w:rsidR="00A77B3E" w:rsidRDefault="0053022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</w:t>
      </w:r>
    </w:p>
    <w:p w:rsidR="00A77B3E" w:rsidRDefault="0053022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ust. 2 ogólnego rozporządzenia o ochronie danych osobowych z dnia 27 kwietnia 2016 r. informuję, iż: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jest Powiat Hajnowski reprezento</w:t>
      </w:r>
      <w:r>
        <w:rPr>
          <w:color w:val="000000"/>
          <w:u w:color="000000"/>
        </w:rPr>
        <w:t>wany przez Starostę Hajnowskiego z siedzibą w Hajnówce (17-200), ul. A. Zina 1, tel. 85 682 27 18, fax. 85 682 42 20, email: starostwo@powiat.hajnowka.pl. Jednostką obsługującą pracę Starosty Hajnowskiego jest Starostwo Powiatowe w Hajnówce w zakresie zada</w:t>
      </w:r>
      <w:r>
        <w:rPr>
          <w:color w:val="000000"/>
          <w:u w:color="000000"/>
        </w:rPr>
        <w:t>ń określonych w Regulaminie Organizacyjnym Starostwa.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Inspektorem Ochrony Danych w Starostwie Powiatowym w Hajnówce można skontaktować się pod adresem email: iod@powiat.hajnowka.pl.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Państwa dane osobowe przetwarzane będą w celu realizacji zadań wyn</w:t>
      </w:r>
      <w:r>
        <w:rPr>
          <w:color w:val="000000"/>
          <w:u w:color="000000"/>
        </w:rPr>
        <w:t>ikających z postanowień uchwały Nr XXXIII/270/2023 Rady Powiatu Hajnowskiego z dnia 9 lutego 2023 r. w sprawie określenia zasad udzielania dotacji na prace konserwatorskie, restauratorskie lub roboty budowlane przy zabytkach wpisanych do rejestru lub ewide</w:t>
      </w:r>
      <w:r>
        <w:rPr>
          <w:color w:val="000000"/>
          <w:u w:color="000000"/>
        </w:rPr>
        <w:t>ncji zabytków położonych lub znajdujących się na obszarze powiatu hajnowskiego (Dz. Urz. Woj. Podl. z 2023 r. poz. 796)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Udostępnianie danych osobowych innym odbiorcom (organom administracji rządowej i samorządowej, sądom, instytucjom oraz służbom i stra</w:t>
      </w:r>
      <w:r>
        <w:rPr>
          <w:color w:val="000000"/>
          <w:u w:color="000000"/>
        </w:rPr>
        <w:t>żom) będzie następowało wyłącznie na podstawie obowiązujących przepisów;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Państwa dane osobowe będą przekazywane do państwa trzeciego/organizacji międzynarodowej wyłącznie w celu realizacji zadań określonych w przepisach;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Państwa dane osobowe będą </w:t>
      </w:r>
      <w:r>
        <w:rPr>
          <w:color w:val="000000"/>
          <w:u w:color="000000"/>
        </w:rPr>
        <w:t>przechowywane przez okres niezbędny do realizacji zadań administracji samorządowej i rządowej w sposób określony w obowiązujących przepisach oraz okres wynikający z przepisów prawa dot. archiwizacji;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Każdy z Państwa posiada prawo dostępu do treści swoic</w:t>
      </w:r>
      <w:r>
        <w:rPr>
          <w:color w:val="000000"/>
          <w:u w:color="000000"/>
        </w:rPr>
        <w:t xml:space="preserve">h danych oraz prawo ich sprostowania, usunięcia, ograniczenia przetwarzania, prawo do przenoszenia danych, prawo wniesienia sprzeciwu, prawo do cofnięcia zgody w dowolnym momencie bez wpływu na zgodność z prawem przetwarzania (*jeżeli przetwarzanie odbywa </w:t>
      </w:r>
      <w:r>
        <w:rPr>
          <w:color w:val="000000"/>
          <w:u w:color="000000"/>
        </w:rPr>
        <w:t>się na podstawie zgody), którego dokonano na podstawie zgody przed jej cofnięciem;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Każdy ma prawo wniesienia skargi do GIODO (PUODO) gdy uzna Pani/Pan, iż przetwarzanie danych osobowych dotyczących Pani/Pana osoby narusza przepisy ogólnego rozporządzeni</w:t>
      </w:r>
      <w:r>
        <w:rPr>
          <w:color w:val="000000"/>
          <w:u w:color="000000"/>
        </w:rPr>
        <w:t>a o ochronie danych osobowych z dnia 27 kwietnia 2016 r.;</w:t>
      </w:r>
    </w:p>
    <w:p w:rsidR="00A77B3E" w:rsidRDefault="0053022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Podanie przez Panią/Pana danych osobowych jest wymogiem ustawowym, warunkiem zawarcia umowy, a w niektórych przypadkach warunkiem umownym. Jest Pani/Pan zobowiązana do ich podania a konsekwencją </w:t>
      </w:r>
      <w:r>
        <w:rPr>
          <w:color w:val="000000"/>
          <w:u w:color="000000"/>
        </w:rPr>
        <w:t>niepodania danych osobowych będzie brak możliwości wszczęcia postępowań (załatwienia określonych spraw).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224" w:rsidRDefault="00530224">
      <w:r>
        <w:separator/>
      </w:r>
    </w:p>
  </w:endnote>
  <w:endnote w:type="continuationSeparator" w:id="0">
    <w:p w:rsidR="00530224" w:rsidRDefault="0053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E231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2313" w:rsidRDefault="00530224">
          <w:pPr>
            <w:jc w:val="left"/>
            <w:rPr>
              <w:sz w:val="18"/>
            </w:rPr>
          </w:pPr>
          <w:r>
            <w:rPr>
              <w:sz w:val="18"/>
            </w:rPr>
            <w:t>Id: DEB9E25B-DE3B-4B13-8649-45664B9C7EF3.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2313" w:rsidRDefault="005302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A2B9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E2313" w:rsidRDefault="00BE231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E231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2313" w:rsidRDefault="00530224">
          <w:pPr>
            <w:jc w:val="left"/>
            <w:rPr>
              <w:sz w:val="18"/>
            </w:rPr>
          </w:pPr>
          <w:r>
            <w:rPr>
              <w:sz w:val="18"/>
            </w:rPr>
            <w:t>Id: DEB9E25B-DE3B-4B13-8649-45664B9C7EF3.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2313" w:rsidRDefault="005302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A2B9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BE2313" w:rsidRDefault="00BE231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224" w:rsidRDefault="00530224">
      <w:r>
        <w:separator/>
      </w:r>
    </w:p>
  </w:footnote>
  <w:footnote w:type="continuationSeparator" w:id="0">
    <w:p w:rsidR="00530224" w:rsidRDefault="00530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A2B90"/>
    <w:rsid w:val="00530224"/>
    <w:rsid w:val="00A77B3E"/>
    <w:rsid w:val="00BE2313"/>
    <w:rsid w:val="00CA2A55"/>
    <w:rsid w:val="00FC4128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AB5D0C-E2BB-4D5F-9B01-D341D50A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1982</Words>
  <Characters>11897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176/402/2023 z dnia 2 sierpnia 2023 r.</vt:lpstr>
      <vt:lpstr/>
    </vt:vector>
  </TitlesOfParts>
  <Company>Zarząd Powiatu Hajnowskiego</Company>
  <LinksUpToDate>false</LinksUpToDate>
  <CharactersWithSpaces>13852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176/402/2023 z dnia 2 sierpnia 2023 r.</dc:title>
  <dc:subject>w sprawie ogłoszenia naboru wniosków o^udzielenie dotacji z^dofinansowaniem
z drugiej edycji Rządowego Programu Odbudowy Zabytków na prace konserwatorskie, restauratorskie lub roboty budowlane przy zabytkach wpisanych do rejestru lub ewidencji zabytków położonych lub znajdujących się na obszarze powiatu hajnowskiego</dc:subject>
  <dc:creator>vminiuk</dc:creator>
  <cp:lastModifiedBy>admin</cp:lastModifiedBy>
  <cp:revision>2</cp:revision>
  <dcterms:created xsi:type="dcterms:W3CDTF">2023-08-02T12:50:00Z</dcterms:created>
  <dcterms:modified xsi:type="dcterms:W3CDTF">2023-08-02T12:50:00Z</dcterms:modified>
  <cp:category>Akt prawny</cp:category>
</cp:coreProperties>
</file>