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bookmarkStart w:id="0" w:name="_GoBack"/>
      <w:bookmarkEnd w:id="0"/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CDC214A" w14:textId="736E8C22" w:rsidR="00B60789" w:rsidRPr="0002490A" w:rsidRDefault="00125BB8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WÓJT GMINY ZABRODZIE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lastRenderedPageBreak/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E0CD287" w14:textId="10096E34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3419D5FC" w:rsidR="00B60789" w:rsidRPr="00125BB8" w:rsidRDefault="00125BB8" w:rsidP="00125BB8">
      <w:pPr>
        <w:pStyle w:val="Listanumerowana2"/>
        <w:numPr>
          <w:ilvl w:val="0"/>
          <w:numId w:val="0"/>
        </w:numPr>
        <w:ind w:left="643" w:hanging="360"/>
        <w:jc w:val="center"/>
        <w:rPr>
          <w:rStyle w:val="Ppogrubienie"/>
          <w:b w:val="0"/>
          <w:i/>
        </w:rPr>
      </w:pPr>
      <w:r>
        <w:rPr>
          <w:rStyle w:val="Ppogrubienie"/>
          <w:b w:val="0"/>
          <w:i/>
        </w:rPr>
        <w:t>Informacja o przetwarzaniu danych osobowych</w:t>
      </w:r>
    </w:p>
    <w:p w14:paraId="1C4EEEE0" w14:textId="524D2CCB" w:rsidR="00B60789" w:rsidRDefault="00125BB8" w:rsidP="00125BB8">
      <w:pPr>
        <w:widowControl/>
        <w:autoSpaceDE/>
        <w:autoSpaceDN/>
        <w:adjustRightInd/>
        <w:spacing w:after="160" w:line="259" w:lineRule="auto"/>
        <w:jc w:val="center"/>
        <w:rPr>
          <w:rStyle w:val="Ppogrubienie"/>
          <w:b w:val="0"/>
          <w:i/>
        </w:rPr>
      </w:pPr>
      <w:r w:rsidRPr="00125BB8">
        <w:rPr>
          <w:rStyle w:val="Ppogrubienie"/>
          <w:b w:val="0"/>
          <w:i/>
        </w:rPr>
        <w:t>Gminny Ośrodek Pomocy Społecznej w Zabrodziu</w:t>
      </w:r>
    </w:p>
    <w:p w14:paraId="143CA3F0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>Niniejszym zgodnie z art. 13 oraz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25BB8">
        <w:rPr>
          <w:i/>
          <w:iCs/>
          <w:sz w:val="16"/>
          <w:szCs w:val="16"/>
          <w:vertAlign w:val="superscript"/>
        </w:rPr>
        <w:t>1</w:t>
      </w:r>
      <w:r w:rsidRPr="00125BB8">
        <w:rPr>
          <w:i/>
          <w:iCs/>
          <w:sz w:val="16"/>
          <w:szCs w:val="16"/>
        </w:rPr>
        <w:t xml:space="preserve"> </w:t>
      </w:r>
      <w:r w:rsidRPr="00125BB8">
        <w:rPr>
          <w:sz w:val="16"/>
          <w:szCs w:val="16"/>
        </w:rPr>
        <w:t xml:space="preserve">przekazujemy Państwu wymagane prawem informacje: </w:t>
      </w:r>
    </w:p>
    <w:p w14:paraId="7569E8A1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 xml:space="preserve">1) Administratorem danych osobowych na podstawie upoważnienia nadanego przez Wójta Gminy Zabrodzie jest Gminny Ośrodek Pomocy Społecznej w Zabrodziu, ul. Wł. St. Reymonta 45, 07-230 Zabrodzie. Kontakt do inspektora ochrony danych osobowych: iod.gopszabrodzie@edukompetencje.pl. </w:t>
      </w:r>
    </w:p>
    <w:p w14:paraId="7B0E5C66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>2) Dane osobowe są przetwarzane w celu wskazanym w art. 6 ust. 1 lit. c RODO tj. wypełnienia obowiązków wynikających z przepisów prawa, którymi są rozpatrzenie wniosku zgodnie z ustawą o dodatku osłonowym</w:t>
      </w:r>
      <w:r w:rsidRPr="00125BB8">
        <w:rPr>
          <w:sz w:val="16"/>
          <w:szCs w:val="16"/>
          <w:vertAlign w:val="superscript"/>
        </w:rPr>
        <w:t>2</w:t>
      </w:r>
      <w:r w:rsidRPr="00125BB8">
        <w:rPr>
          <w:sz w:val="16"/>
          <w:szCs w:val="16"/>
        </w:rPr>
        <w:t xml:space="preserve"> w związku z ustawą Prawo ochrony środowiska</w:t>
      </w:r>
      <w:r w:rsidRPr="00125BB8">
        <w:rPr>
          <w:sz w:val="16"/>
          <w:szCs w:val="16"/>
          <w:vertAlign w:val="superscript"/>
        </w:rPr>
        <w:t>3</w:t>
      </w:r>
      <w:r w:rsidRPr="00125BB8">
        <w:rPr>
          <w:sz w:val="16"/>
          <w:szCs w:val="16"/>
        </w:rPr>
        <w:t>, ustawą Kodeks postępowania administracyjnego</w:t>
      </w:r>
      <w:r w:rsidRPr="00125BB8">
        <w:rPr>
          <w:sz w:val="16"/>
          <w:szCs w:val="16"/>
          <w:vertAlign w:val="superscript"/>
        </w:rPr>
        <w:t>4</w:t>
      </w:r>
      <w:r w:rsidRPr="00125BB8">
        <w:rPr>
          <w:sz w:val="16"/>
          <w:szCs w:val="16"/>
        </w:rPr>
        <w:t>, ustawą o świadczeniach rodzinnych</w:t>
      </w:r>
      <w:r w:rsidRPr="00125BB8">
        <w:rPr>
          <w:sz w:val="16"/>
          <w:szCs w:val="16"/>
          <w:vertAlign w:val="superscript"/>
        </w:rPr>
        <w:t>5</w:t>
      </w:r>
      <w:r w:rsidRPr="00125BB8">
        <w:rPr>
          <w:sz w:val="16"/>
          <w:szCs w:val="16"/>
        </w:rPr>
        <w:t xml:space="preserve"> oraz w celach archiwalnych. </w:t>
      </w:r>
    </w:p>
    <w:p w14:paraId="70FBB541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lastRenderedPageBreak/>
        <w:t xml:space="preserve">3) Przetwarzane przez Gminny Ośrodek Pomocy Społecznej w Zabrodziu dane osób zawarte we wniosku są określone w Rozporządzeniu Ministra Klimatu i Środowiska w sprawie wzoru wniosku o wypłatę dodatku osłonowego </w:t>
      </w:r>
      <w:r w:rsidRPr="00125BB8">
        <w:rPr>
          <w:sz w:val="16"/>
          <w:szCs w:val="16"/>
          <w:vertAlign w:val="superscript"/>
        </w:rPr>
        <w:t>6</w:t>
      </w:r>
      <w:r w:rsidRPr="00125BB8">
        <w:rPr>
          <w:sz w:val="16"/>
          <w:szCs w:val="16"/>
        </w:rPr>
        <w:t xml:space="preserve"> </w:t>
      </w:r>
    </w:p>
    <w:p w14:paraId="036576BA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 xml:space="preserve">4) Dane osobowe udostępnia się podmiotom uprawnionym na podstawie przepisów prawa (np. właściwe instytucje kontrolne). Dostęp do danych w strukturze organizacyjnej Gminnego Ośrodka Pomocy Społecznej w Zabrodziu mają wyłącznie upoważnieni pracownicy i tylko w zakresie niezbędnym do realizacji obowiązków zawodowych. </w:t>
      </w:r>
    </w:p>
    <w:p w14:paraId="668877A3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>5) Dane będą przechowywane przez okres niezbędny do realizacji wynikających z przepisów prawa celów archiwizacji zgodnie z ustawą o narodowym zasobie archiwalnym i archiwach</w:t>
      </w:r>
      <w:r w:rsidRPr="00125BB8">
        <w:rPr>
          <w:sz w:val="16"/>
          <w:szCs w:val="16"/>
          <w:vertAlign w:val="superscript"/>
        </w:rPr>
        <w:t>7</w:t>
      </w:r>
      <w:r w:rsidRPr="00125BB8">
        <w:rPr>
          <w:sz w:val="16"/>
          <w:szCs w:val="16"/>
        </w:rPr>
        <w:t xml:space="preserve">. </w:t>
      </w:r>
    </w:p>
    <w:p w14:paraId="1C629FA7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 xml:space="preserve">6) Przyjmuję do wiadomości, że mam prawo do dostępu do treści podanych danych osobowych i ich poprawiania za pośrednictwem Gminnego Ośrodka Pomocy Społecznej w Zabrodziu, prawo do ograniczenia przetwarzania w przypadkach określonych w art. 18 RODO oraz mam prawo do wniesienia skargi dotyczącej przetwarzania danych osobowych do organu nadzorczego, którym jest Urząd Ochrony Danych Osobowych w Warszawie w przypadku gdy uznam, iż przetwarzanie moich danych osobowych narusza przepisy prawa. </w:t>
      </w:r>
    </w:p>
    <w:p w14:paraId="0E9391AD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  <w:u w:val="single"/>
        </w:rPr>
      </w:pPr>
      <w:r w:rsidRPr="00125BB8">
        <w:rPr>
          <w:sz w:val="16"/>
          <w:szCs w:val="16"/>
        </w:rPr>
        <w:t xml:space="preserve">7) Przyjmuję do wiadomości, że do rozpatrzenia wniosku podanie danych osobowych jest obowiązkowe, a niepodanie danych skutkuje </w:t>
      </w:r>
      <w:r w:rsidRPr="00125BB8">
        <w:rPr>
          <w:sz w:val="16"/>
          <w:szCs w:val="16"/>
          <w:u w:val="single"/>
        </w:rPr>
        <w:t xml:space="preserve">wezwaniem do ich uzupełnienia, a w przypadku nieuzupełnienia, brakiem możliwości rozpatrzenia wniosku.  </w:t>
      </w:r>
    </w:p>
    <w:p w14:paraId="4E4862AD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1</w:t>
      </w:r>
      <w:r w:rsidRPr="00125BB8">
        <w:rPr>
          <w:i/>
          <w:sz w:val="16"/>
          <w:szCs w:val="16"/>
        </w:rPr>
        <w:t xml:space="preserve">Dalej: RODO; </w:t>
      </w:r>
    </w:p>
    <w:p w14:paraId="49FE75F7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2</w:t>
      </w:r>
      <w:r w:rsidRPr="00125BB8">
        <w:rPr>
          <w:i/>
          <w:sz w:val="16"/>
          <w:szCs w:val="16"/>
        </w:rPr>
        <w:t xml:space="preserve"> Ustawa z dnia 17 grudnia 2021 r. o dodatku osłonowym (Dz.U. 2023 poz. 759); </w:t>
      </w:r>
    </w:p>
    <w:p w14:paraId="42006CE2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3</w:t>
      </w:r>
      <w:r w:rsidRPr="00125BB8">
        <w:rPr>
          <w:i/>
          <w:sz w:val="16"/>
          <w:szCs w:val="16"/>
        </w:rPr>
        <w:t xml:space="preserve"> Ustawa z dnia 27 kwietnia 2001 r. Prawo ochrony środowiska (Dz.U. 2024 poz. 54 ze zm.); </w:t>
      </w:r>
    </w:p>
    <w:p w14:paraId="255DE003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4</w:t>
      </w:r>
      <w:r w:rsidRPr="00125BB8">
        <w:rPr>
          <w:i/>
          <w:sz w:val="16"/>
          <w:szCs w:val="16"/>
        </w:rPr>
        <w:t xml:space="preserve"> Ustawa z dnia 14 czerwca 1960 r. Kodeks postępowania administracyjnego (Dz.U. 2023 poz. 775 ze zm.); </w:t>
      </w:r>
    </w:p>
    <w:p w14:paraId="1D6798A0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5</w:t>
      </w:r>
      <w:r w:rsidRPr="00125BB8">
        <w:rPr>
          <w:i/>
          <w:sz w:val="16"/>
          <w:szCs w:val="16"/>
        </w:rPr>
        <w:t xml:space="preserve"> Ustawa z dnia 28 listopada 2003 r. o świadczeniach rodzinnych (Dz.U. 2023 poz. 390); </w:t>
      </w:r>
    </w:p>
    <w:p w14:paraId="2A56FB2F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6</w:t>
      </w:r>
      <w:r w:rsidRPr="00125BB8">
        <w:rPr>
          <w:i/>
          <w:sz w:val="16"/>
          <w:szCs w:val="16"/>
        </w:rPr>
        <w:t xml:space="preserve"> Rozporządzenie Ministra Klimatu i Środowiska z dnia 3 stycznia 2022 r. w sprawie wzoru wniosku o wypłatę dodatku osłonowego (Dz.U. 2022 poz. 2); </w:t>
      </w:r>
    </w:p>
    <w:p w14:paraId="65EEF15F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7</w:t>
      </w:r>
      <w:r w:rsidRPr="00125BB8">
        <w:rPr>
          <w:i/>
          <w:sz w:val="16"/>
          <w:szCs w:val="16"/>
        </w:rPr>
        <w:t xml:space="preserve"> Ustawa z dnia 14 lipca 1983 r. o narodowym zasobie archiwalnym i archiwach (Dz.U. 2020 poz. 164 ze zm.) </w:t>
      </w:r>
    </w:p>
    <w:p w14:paraId="1AAEA54D" w14:textId="77777777" w:rsid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</w:p>
    <w:p w14:paraId="4574391F" w14:textId="481EF4AD" w:rsidR="00125BB8" w:rsidRDefault="00125BB8" w:rsidP="00125BB8">
      <w:pPr>
        <w:widowControl/>
        <w:autoSpaceDE/>
        <w:autoSpaceDN/>
        <w:adjustRightInd/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14:paraId="16C032AE" w14:textId="0A8551EB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podpis</w:t>
      </w:r>
    </w:p>
    <w:p w14:paraId="75BC56F0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rStyle w:val="Ppogrubienie"/>
          <w:b w:val="0"/>
          <w:sz w:val="16"/>
          <w:szCs w:val="16"/>
        </w:rPr>
      </w:pPr>
    </w:p>
    <w:p w14:paraId="054A771A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4C7D1D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0C95A07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78F983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ACFF98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7A4B809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535251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2DD75F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50379E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169098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259E919A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F447E76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1B45394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DF71F05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C6DDCE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DBF8A51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782A127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112BB7E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6AF9209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882452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8A2CA79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83E426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7851C1D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8946A1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0B5C65F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8880D31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66EF31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297138A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7796994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78357B7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4C8EB5C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AFA072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4F06D9C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6A9AD6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66CFC1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E0FCB6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EFA3DF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BA7B0FC" w14:textId="77777777" w:rsidR="00125BB8" w:rsidRPr="00125BB8" w:rsidRDefault="00125BB8" w:rsidP="00125BB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B3D9F71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B2EC08C" w14:textId="77777777" w:rsidR="00B60789" w:rsidRPr="00125BB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25BB8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</w:t>
      </w:r>
      <w:r w:rsidRPr="00796794">
        <w:rPr>
          <w:rFonts w:eastAsia="Arial" w:cs="Times New Roman"/>
          <w:color w:val="000000"/>
          <w:sz w:val="18"/>
          <w:szCs w:val="18"/>
        </w:rPr>
        <w:lastRenderedPageBreak/>
        <w:t>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lastRenderedPageBreak/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125BB8">
      <w:headerReference w:type="default" r:id="rId9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8A5C2" w14:textId="77777777" w:rsidR="00BE698B" w:rsidRDefault="00BE698B" w:rsidP="00B60789">
      <w:pPr>
        <w:spacing w:line="240" w:lineRule="auto"/>
      </w:pPr>
      <w:r>
        <w:separator/>
      </w:r>
    </w:p>
  </w:endnote>
  <w:endnote w:type="continuationSeparator" w:id="0">
    <w:p w14:paraId="468AC92B" w14:textId="77777777" w:rsidR="00BE698B" w:rsidRDefault="00BE698B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AA0E" w14:textId="77777777" w:rsidR="00BE698B" w:rsidRDefault="00BE698B" w:rsidP="00B60789">
      <w:pPr>
        <w:spacing w:line="240" w:lineRule="auto"/>
      </w:pPr>
      <w:r>
        <w:separator/>
      </w:r>
    </w:p>
  </w:footnote>
  <w:footnote w:type="continuationSeparator" w:id="0">
    <w:p w14:paraId="0CEDD3B2" w14:textId="77777777" w:rsidR="00BE698B" w:rsidRDefault="00BE698B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6264F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64F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25BB8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933D4"/>
    <w:rsid w:val="00BA33ED"/>
    <w:rsid w:val="00BC1FDB"/>
    <w:rsid w:val="00BD7F66"/>
    <w:rsid w:val="00BE698B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3957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2024-04-23T10:59:00Z</dcterms:created>
  <dcterms:modified xsi:type="dcterms:W3CDTF">2024-04-23T10:59:00Z</dcterms:modified>
</cp:coreProperties>
</file>