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23" w:rsidRPr="008433D0" w:rsidRDefault="00497923" w:rsidP="00497923">
      <w:pPr>
        <w:rPr>
          <w:rFonts w:eastAsiaTheme="minorEastAsia" w:cstheme="minorHAnsi"/>
          <w:iCs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Załącznik nr 1</w:t>
      </w: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olor w:val="000000"/>
          <w:sz w:val="28"/>
          <w:szCs w:val="28"/>
          <w:lang w:eastAsia="pl-PL"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Opis Przedmiotu Zamówienia</w:t>
      </w: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jc w:val="center"/>
        <w:rPr>
          <w:b/>
          <w:i/>
        </w:rPr>
      </w:pPr>
    </w:p>
    <w:p w:rsidR="00497923" w:rsidRDefault="00497923" w:rsidP="00497923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497923" w:rsidRPr="001E70A2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W ramach realizacji przedmiotu umowy Wykonawca zobowiązuje się do przygotowania </w:t>
      </w:r>
      <w:r>
        <w:rPr>
          <w:rFonts w:eastAsia="Times New Roman"/>
          <w:lang w:eastAsia="pl-PL"/>
        </w:rPr>
        <w:t xml:space="preserve">diagnozy obszaru całej gminy zgodnie z zapisami rozdziału 3 ustawy o rewitalizacji oraz gminnego </w:t>
      </w:r>
      <w:r w:rsidRPr="001614FC">
        <w:rPr>
          <w:rFonts w:eastAsia="Times New Roman"/>
          <w:lang w:eastAsia="pl-PL"/>
        </w:rPr>
        <w:t>programu rewitalizacji</w:t>
      </w:r>
      <w:r>
        <w:rPr>
          <w:rFonts w:eastAsia="Times New Roman"/>
          <w:lang w:eastAsia="pl-PL"/>
        </w:rPr>
        <w:t xml:space="preserve"> (GPR)</w:t>
      </w:r>
      <w:r w:rsidRPr="001614FC">
        <w:rPr>
          <w:rFonts w:eastAsia="Times New Roman"/>
          <w:lang w:eastAsia="pl-PL"/>
        </w:rPr>
        <w:t>, o którym mowa w rozdz. 4 ustawy z dnia 9 października 2015 r. o rewitalizacji, pełniącego rolę Innego instrumentu terytorialnego, zwanego dalej IIT, o którym mowa w art. 28 i art. 29 rozporządzenia ogólnego</w:t>
      </w:r>
      <w:r>
        <w:rPr>
          <w:rStyle w:val="Odwoanieprzypisudolnego"/>
          <w:rFonts w:eastAsia="Times New Roman"/>
          <w:lang w:eastAsia="pl-PL"/>
        </w:rPr>
        <w:footnoteReference w:id="1"/>
      </w:r>
      <w:r w:rsidRPr="001614FC">
        <w:rPr>
          <w:rFonts w:eastAsia="Times New Roman"/>
          <w:lang w:eastAsia="pl-PL"/>
        </w:rPr>
        <w:t xml:space="preserve"> oraz w art. 36 ustawy z dnia 28 kwietnia 2022 r. o zasadach realizacji zadań finansowanych ze środków europejskich w perspektywie finansowej 2021–2027</w:t>
      </w:r>
      <w:r>
        <w:rPr>
          <w:rStyle w:val="Odwoanieprzypisudolnego"/>
          <w:rFonts w:eastAsia="Times New Roman"/>
          <w:lang w:eastAsia="pl-PL"/>
        </w:rPr>
        <w:footnoteReference w:id="2"/>
      </w:r>
      <w:r>
        <w:rPr>
          <w:rFonts w:eastAsia="Times New Roman"/>
          <w:lang w:eastAsia="pl-PL"/>
        </w:rPr>
        <w:t>. Zakres zadań do realizacji obejmuje</w:t>
      </w:r>
      <w:r w:rsidRPr="001E70A2">
        <w:t>:</w:t>
      </w:r>
    </w:p>
    <w:p w:rsidR="00497923" w:rsidRPr="00D21E43" w:rsidRDefault="00497923" w:rsidP="00497923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opracowanie diagnozy w celu wyznaczenia obszaru zdegradowanego i obszaru rewitalizacji wraz z projektem uchwały w sprawie wyznaczenia tych obszarów</w:t>
      </w:r>
      <w:r>
        <w:t>;</w:t>
      </w:r>
    </w:p>
    <w:p w:rsidR="00497923" w:rsidRPr="00D21E43" w:rsidRDefault="00497923" w:rsidP="00497923">
      <w:pPr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opracowanie dokumentu GPR, w tym: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diagnozy szczegółowej obszaru rewitalizacji w sferze społecznej, gospodarczej, technicznej, środowiskowej i przestrzenno-funkcjonalnej</w:t>
      </w:r>
      <w:r>
        <w:t>;</w:t>
      </w:r>
      <w:r w:rsidRPr="00D21E43">
        <w:t xml:space="preserve"> 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części strategicznej i zarządczej GPR, z opracowaniem koncepcji przedsięwzięć rewitalizacyjnych umożliwiających pozyskanie dofinansowania ze środków europejskich w perspektywie finansowej 2021 – 2027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załącznika mapowego do GPR – podstawowe kierunki zmian przestrzenno-funkcjonalnych obszaru rewitalizacji</w:t>
      </w:r>
      <w:r>
        <w:t>;</w:t>
      </w:r>
      <w:r w:rsidRPr="00D21E43">
        <w:t xml:space="preserve"> </w:t>
      </w:r>
    </w:p>
    <w:p w:rsidR="00497923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D21E43">
        <w:t>opracowanie projektu uchwały w sprawie zasad wyznaczania oraz zasad działania Komitetu Rewitalizacji</w:t>
      </w:r>
      <w:r>
        <w:t>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1B631E">
        <w:rPr>
          <w:color w:val="000000"/>
        </w:rPr>
        <w:t>przeprowadzenie w imieniu Zamawiającego procesu konsultacji społecznych:</w:t>
      </w:r>
    </w:p>
    <w:p w:rsidR="00497923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uchwały w sprawie wyznaczenia obszaru zdegradowanego i obszaru rewitalizacji</w:t>
      </w:r>
      <w:r>
        <w:rPr>
          <w:color w:val="000000"/>
        </w:rPr>
        <w:t>;</w:t>
      </w:r>
    </w:p>
    <w:p w:rsidR="00497923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uchwały w sprawie wyznaczenia składu oraz działania Komitetu Rewitalizacji</w:t>
      </w:r>
      <w:r>
        <w:rPr>
          <w:color w:val="000000"/>
        </w:rPr>
        <w:t>;</w:t>
      </w:r>
    </w:p>
    <w:p w:rsidR="00497923" w:rsidRPr="001B631E" w:rsidRDefault="00497923" w:rsidP="0049792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</w:pPr>
      <w:r w:rsidRPr="000929D4">
        <w:rPr>
          <w:color w:val="000000"/>
        </w:rPr>
        <w:t>projektu GPR;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1B631E">
        <w:rPr>
          <w:color w:val="000000"/>
        </w:rPr>
        <w:t>asystowanie Zamawiającemu w procesie opiniowania projektu dokumentu GPR</w:t>
      </w:r>
      <w:r>
        <w:rPr>
          <w:color w:val="000000"/>
        </w:rPr>
        <w:t>, polegające na ustaleniu katalogu podmiotów opiniujących GPR, wsparciu w opracowaniu treści wniosków o opinię, dostosowaniu treści GPR do uzyskanych opinii;</w:t>
      </w:r>
    </w:p>
    <w:p w:rsidR="00497923" w:rsidRPr="001B631E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7B6F47">
        <w:rPr>
          <w:color w:val="000000"/>
        </w:rPr>
        <w:t xml:space="preserve">asystowanie Zamawiającemu w procesie przeprowadzenia strategicznej oceny oddziaływania na środowisko projektu GPR (o ile będzie to zasadne), zgodnie z obowiązującymi w tym zakresie przepisami, polegające na wsparciu w opracowaniu treści wystąpień do właściwych organów, opracowaniu prognozy oddziaływania na środowisko </w:t>
      </w:r>
      <w:r w:rsidRPr="007B6F47">
        <w:rPr>
          <w:color w:val="000000"/>
        </w:rPr>
        <w:lastRenderedPageBreak/>
        <w:t xml:space="preserve">projektu GPR (o ile będzie to zasadne), przeprowadzeniu konsultacji społecznych na zasadach wynikających z ustawy z dnia 3 października 2008 r. o udostępnianiu informacji o środowisko i jego ochronie, udziale społeczeństwa w ochronie środowiska oraz ocenach oddziaływania na środowisko (opcjonalnie), wprowadzeniu zmian do projektu GPR wynikających z przeprowadzonej procedury.  </w:t>
      </w:r>
    </w:p>
    <w:p w:rsidR="00497923" w:rsidRPr="00D21E43" w:rsidRDefault="00497923" w:rsidP="0049792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hanging="642"/>
        <w:jc w:val="both"/>
      </w:pPr>
      <w:r w:rsidRPr="00D21E43">
        <w:t>asystowanie Zamawiającemu w przeprowadzeniu procesu weryfikacji dokumentu GPR</w:t>
      </w:r>
      <w:r>
        <w:t xml:space="preserve"> </w:t>
      </w:r>
      <w:r w:rsidRPr="00D21E43">
        <w:t xml:space="preserve">przez Urząd Marszałkowski </w:t>
      </w:r>
      <w:r>
        <w:t xml:space="preserve">Województwa Opolskiego, polegające na analizie uwag zgłoszonych do GPR oraz wprowadzeniu zmian do dokumentu z nich wynikających, </w:t>
      </w:r>
    </w:p>
    <w:p w:rsidR="00497923" w:rsidRPr="00D21E43" w:rsidRDefault="00497923" w:rsidP="0049792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09"/>
        <w:jc w:val="both"/>
      </w:pPr>
      <w:r w:rsidRPr="00D21E43">
        <w:t>Przedmiot umowy będzie realizowany w trzech etapach: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 – przygotowanie diagnozy w celu wyznaczenia obszaru zdegradowanego i obszaru rewitalizacji wraz z projektem uchwały i przeprowadzeniem konsultacji społecznych, zakończony przekazaniem projektu uchwały złożonej do Rady Gminy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II - przygotowanie projektu GPR – wraz z przeprowadzeniem konsultacji społecznych oraz opiniowaniem GPR, a także strategiczną oceną oddziaływania na środowisko projektu GPR (o ile będzie to zasadne), zakończony przekazaniem projektu uchwały w sprawie przyjęcia GPR złożonej do Rady Gminy</w:t>
      </w:r>
      <w:r>
        <w:t>;</w:t>
      </w:r>
    </w:p>
    <w:p w:rsidR="00497923" w:rsidRPr="00D21E43" w:rsidRDefault="00497923" w:rsidP="0049792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</w:pPr>
      <w:r w:rsidRPr="00D21E43">
        <w:t>ETAP III – opracowanie projektu uchwały w sprawie zasad wyboru oraz zasad działania Komitetu Rewitalizacji wraz z konsultacjami oraz przedłożeniem GPR do weryfikacji przez Urząd Marszałkowski, zakończony uzyskaniem wpisu do Wykazu programów rewitalizacji gmin województwa</w:t>
      </w:r>
      <w:r>
        <w:t xml:space="preserve"> opolskiego</w:t>
      </w:r>
      <w:r w:rsidRPr="00D21E43">
        <w:t>.</w:t>
      </w:r>
    </w:p>
    <w:p w:rsidR="00497923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Przygotowanie diagnozy służącej wyznaczeniu obszaru zdegradowanego i obszaru rewitalizacji będzie obejmowało: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Przeprowadzenie pełnej diagnozy całego obszaru gminy w układzie jednostek przestrzennych wskazanych przez </w:t>
      </w:r>
      <w:r>
        <w:t>W</w:t>
      </w:r>
      <w:r w:rsidRPr="00814A64">
        <w:t>ykonawcę. Przeprowadzenie analizy i diagnozy zróżnicowania sytuacji w sferze społecznej (badanie natężenia koncentracji negatywnych zjawisk o których mowa w art. 9 ust. 1 ustawy o rewitalizacji)</w:t>
      </w:r>
      <w:r>
        <w:t>,</w:t>
      </w:r>
      <w:r w:rsidRPr="00814A64">
        <w:t xml:space="preserve"> wskazanie miejsc występowania tych zjawisk oraz terenów cechujących się koncentracją kryzysu społecznego, współwystępującego z negatywnymi zjawiskami z innych sfer: gospodarczej, środowiskowej, przestrzenno-funkcjonalnej, technicznej (art. 9 ust. 1 pkt 1-4 ustawy). Dane niezbędne do przeprowadzenia analiz i diagnoz pozyskane zostaną przez Wykonawcę przy współudziale Zamawiającego.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>Wyznaczenie obszaru zdegradowanego – wskazanie obszaru będącego w stanie kryzysowym z powodu koncentracji negatywnych zjawisk społecznych oraz co najmniej jednego negatywnego zjawiska w sferze gospodarczej, środowiskowej, przestrzenno-funkcjonalnej lub technicznej (art. 9 ust. 1 pkt 1-4 ustawy). Na etapie delimitacji Wykonawca winien uwzględnić możliwość podziału obszaru zdegradowanego na podobszary, w tym nieposiadające ze sobą wspólnych granic (art. 9 ust. 2). Obszar zdegradowany wyznaczony zostanie w oparciu o wcześniej przeprowadzone analizy i diagnozy gminy.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 w:rsidRPr="00814A64">
        <w:t xml:space="preserve">Wyznaczenie obszaru rewitalizacji – przeprowadzenie pogłębionej, szczegółowej analizy i diagnozy koncentracji negatywnych zjawisk zidentyfikowanych na obszarze zdegradowanym wraz z analizą wewnętrznych potencjałów obszaru istotnego z punktu widzenia rozwoju lokalnego. Obszar rewitalizacji nie może być większy niż 20% powierzchni gminy oraz zamieszkały przez więcej niż 30% liczby mieszkańców. Ponadto na etapie delimitacji Wykonawca winien uwzględnić możliwość podziału obszaru na podobszary (w tym nie posiadające wspólnych granic), a także uwzględnić możliwość włączenia do obszaru </w:t>
      </w:r>
      <w:r w:rsidRPr="00814A64">
        <w:lastRenderedPageBreak/>
        <w:t>rewitalizacji niezamieszkałych obszarów poprzemysłowych (</w:t>
      </w:r>
      <w:proofErr w:type="spellStart"/>
      <w:r w:rsidRPr="00814A64">
        <w:t>poportowych</w:t>
      </w:r>
      <w:proofErr w:type="spellEnd"/>
      <w:r w:rsidRPr="00814A64">
        <w:t xml:space="preserve"> i </w:t>
      </w:r>
      <w:proofErr w:type="spellStart"/>
      <w:r w:rsidRPr="00814A64">
        <w:t>powydobywczych</w:t>
      </w:r>
      <w:proofErr w:type="spellEnd"/>
      <w:r w:rsidRPr="00814A64">
        <w:t xml:space="preserve">), terenów powojskowych lub </w:t>
      </w:r>
      <w:proofErr w:type="spellStart"/>
      <w:r w:rsidRPr="00814A64">
        <w:t>pokolejowych</w:t>
      </w:r>
      <w:proofErr w:type="spellEnd"/>
      <w:r w:rsidRPr="00814A64">
        <w:t xml:space="preserve"> (art. 10 ust. 2 i 3 ustawy). </w:t>
      </w:r>
    </w:p>
    <w:p w:rsidR="00497923" w:rsidRDefault="00497923" w:rsidP="00497923">
      <w:pPr>
        <w:pStyle w:val="Akapitzlist"/>
        <w:numPr>
          <w:ilvl w:val="0"/>
          <w:numId w:val="3"/>
        </w:numPr>
        <w:tabs>
          <w:tab w:val="clear" w:pos="360"/>
          <w:tab w:val="num" w:pos="709"/>
        </w:tabs>
        <w:spacing w:after="120"/>
        <w:ind w:left="709" w:hanging="284"/>
        <w:contextualSpacing w:val="0"/>
        <w:jc w:val="both"/>
      </w:pPr>
      <w:r w:rsidRPr="002153D1">
        <w:t>Opracowanie mapy zawierającej granice obszaru zdegradowanego i obszaru rewitalizacji w skali co najmniej 1:5000 sporządzonej z wykorzystaniem treści mapy zasadniczej (art. 11 ust. 1). W przypadku uchwalenia miejscowego planu rewitalizacji lub specjalnej strefy rewitalizacji mapa winna wskazać granice tych obszarów.</w:t>
      </w:r>
      <w:r w:rsidRPr="00F90F0B">
        <w:t xml:space="preserve"> </w:t>
      </w:r>
    </w:p>
    <w:p w:rsidR="00497923" w:rsidRPr="00F7343C" w:rsidRDefault="00497923" w:rsidP="00497923">
      <w:pPr>
        <w:numPr>
          <w:ilvl w:val="0"/>
          <w:numId w:val="3"/>
        </w:numPr>
        <w:autoSpaceDE w:val="0"/>
        <w:spacing w:after="0" w:line="276" w:lineRule="auto"/>
        <w:ind w:left="709" w:hanging="283"/>
        <w:contextualSpacing/>
        <w:jc w:val="both"/>
      </w:pPr>
      <w:r w:rsidRPr="004339F9">
        <w:t>Na potrzeby wpisu do regionalnego wykazu programów rewitalizacji należy opracować bazy danych przestrzennych w wersji wektorowej obejmujące</w:t>
      </w:r>
      <w:r>
        <w:t xml:space="preserve"> </w:t>
      </w:r>
      <w:r w:rsidRPr="004339F9">
        <w:rPr>
          <w:rFonts w:ascii="Calibri" w:hAnsi="Calibri" w:cs="Arial"/>
          <w:bCs/>
        </w:rPr>
        <w:t>klas</w:t>
      </w:r>
      <w:r>
        <w:rPr>
          <w:rFonts w:ascii="Calibri" w:hAnsi="Calibri" w:cs="Arial"/>
          <w:bCs/>
        </w:rPr>
        <w:t>y</w:t>
      </w:r>
      <w:r w:rsidRPr="004339F9">
        <w:rPr>
          <w:rFonts w:ascii="Calibri" w:hAnsi="Calibri" w:cs="Arial"/>
          <w:bCs/>
        </w:rPr>
        <w:t xml:space="preserve"> obiektów zawierających granice: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  <w:tab w:val="left" w:pos="993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obszaru rewitalizacji,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podobszarów rewitalizacji</w:t>
      </w:r>
      <w:r w:rsidRPr="004339F9">
        <w:rPr>
          <w:rFonts w:ascii="Calibri" w:hAnsi="Calibri" w:cs="Arial"/>
          <w:vertAlign w:val="superscript"/>
        </w:rPr>
        <w:t>*</w:t>
      </w:r>
      <w:r w:rsidRPr="004339F9">
        <w:rPr>
          <w:rFonts w:ascii="Calibri" w:hAnsi="Calibri" w:cs="Arial"/>
        </w:rPr>
        <w:t>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obszaru zdegradowanego,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miejscowego planu rewitalizacji*,</w:t>
      </w:r>
    </w:p>
    <w:p w:rsidR="00497923" w:rsidRPr="004339F9" w:rsidRDefault="00497923" w:rsidP="00497923">
      <w:pPr>
        <w:numPr>
          <w:ilvl w:val="2"/>
          <w:numId w:val="3"/>
        </w:numPr>
        <w:tabs>
          <w:tab w:val="clear" w:pos="1800"/>
        </w:tabs>
        <w:spacing w:before="120" w:after="0" w:line="276" w:lineRule="auto"/>
        <w:ind w:left="1560" w:hanging="284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</w:rPr>
        <w:t>specjalnej strefy rewitalizacji*.</w:t>
      </w: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  <w:rPr>
          <w:rFonts w:ascii="Calibri" w:hAnsi="Calibri" w:cs="Arial"/>
        </w:rPr>
      </w:pPr>
      <w:r w:rsidRPr="004339F9">
        <w:rPr>
          <w:rFonts w:ascii="Calibri" w:hAnsi="Calibri" w:cs="Arial"/>
          <w:vertAlign w:val="superscript"/>
        </w:rPr>
        <w:t>*</w:t>
      </w:r>
      <w:r w:rsidRPr="004339F9">
        <w:rPr>
          <w:rFonts w:ascii="Calibri" w:hAnsi="Calibri" w:cs="Arial"/>
        </w:rPr>
        <w:t>Jeżeli  obszar nie został utworzony, wówczas należy go pominąć.</w:t>
      </w: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</w:pP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</w:pPr>
      <w:r w:rsidRPr="004339F9">
        <w:rPr>
          <w:rFonts w:ascii="Calibri" w:hAnsi="Calibri" w:cs="Arial"/>
          <w:bCs/>
        </w:rPr>
        <w:t>Granice obszarów należy opracować w postaci wektorowej w oparciu o granice działek w układzie PL-2000 pozyskane z właściwych miejscowo do położenia gminy powiatowych ośrodków dokumentacji geodezyjnej i kartograficznej.</w:t>
      </w:r>
    </w:p>
    <w:p w:rsidR="00497923" w:rsidRPr="004339F9" w:rsidRDefault="00497923" w:rsidP="00497923">
      <w:pPr>
        <w:autoSpaceDE w:val="0"/>
        <w:spacing w:after="0" w:line="276" w:lineRule="auto"/>
        <w:ind w:left="709"/>
        <w:contextualSpacing/>
        <w:jc w:val="both"/>
      </w:pPr>
    </w:p>
    <w:p w:rsidR="00497923" w:rsidRPr="004339F9" w:rsidRDefault="00497923" w:rsidP="00497923">
      <w:pPr>
        <w:tabs>
          <w:tab w:val="left" w:pos="142"/>
        </w:tabs>
        <w:ind w:left="708"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Klasy obiektów należy opracować zgodnie z poniższymi wymaganiami technicznymi: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Format plików: </w:t>
      </w:r>
      <w:proofErr w:type="spellStart"/>
      <w:r w:rsidRPr="004339F9">
        <w:rPr>
          <w:rFonts w:ascii="Calibri" w:hAnsi="Calibri"/>
        </w:rPr>
        <w:t>GeoPackage</w:t>
      </w:r>
      <w:proofErr w:type="spellEnd"/>
      <w:r w:rsidRPr="004339F9">
        <w:rPr>
          <w:rFonts w:ascii="Calibri" w:hAnsi="Calibri"/>
        </w:rPr>
        <w:t xml:space="preserve"> (</w:t>
      </w:r>
      <w:proofErr w:type="spellStart"/>
      <w:r w:rsidRPr="004339F9">
        <w:rPr>
          <w:rFonts w:ascii="Calibri" w:hAnsi="Calibri"/>
        </w:rPr>
        <w:t>gpkg</w:t>
      </w:r>
      <w:proofErr w:type="spellEnd"/>
      <w:r w:rsidRPr="004339F9">
        <w:rPr>
          <w:rFonts w:ascii="Calibri" w:hAnsi="Calibri"/>
        </w:rPr>
        <w:t xml:space="preserve">) lub </w:t>
      </w:r>
      <w:proofErr w:type="spellStart"/>
      <w:r w:rsidRPr="004339F9">
        <w:rPr>
          <w:rFonts w:ascii="Calibri" w:hAnsi="Calibri"/>
        </w:rPr>
        <w:t>Shapefile</w:t>
      </w:r>
      <w:proofErr w:type="spellEnd"/>
      <w:r w:rsidRPr="004339F9">
        <w:rPr>
          <w:rFonts w:ascii="Calibri" w:hAnsi="Calibri"/>
        </w:rPr>
        <w:t xml:space="preserve"> (</w:t>
      </w:r>
      <w:proofErr w:type="spellStart"/>
      <w:r w:rsidRPr="004339F9">
        <w:rPr>
          <w:rFonts w:ascii="Calibri" w:hAnsi="Calibri"/>
        </w:rPr>
        <w:t>shp</w:t>
      </w:r>
      <w:proofErr w:type="spellEnd"/>
      <w:r w:rsidRPr="004339F9">
        <w:rPr>
          <w:rFonts w:ascii="Calibri" w:hAnsi="Calibri"/>
        </w:rPr>
        <w:t>),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>Układ współrzędnych: PL-2000,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Typ geometrii: </w:t>
      </w:r>
      <w:proofErr w:type="spellStart"/>
      <w:r w:rsidRPr="004339F9">
        <w:rPr>
          <w:rFonts w:ascii="Calibri" w:hAnsi="Calibri"/>
        </w:rPr>
        <w:t>area</w:t>
      </w:r>
      <w:proofErr w:type="spellEnd"/>
      <w:r w:rsidRPr="004339F9">
        <w:rPr>
          <w:rFonts w:ascii="Calibri" w:hAnsi="Calibri"/>
        </w:rPr>
        <w:t>. Pozyskiwana geometria powinna być dociągana (</w:t>
      </w:r>
      <w:proofErr w:type="spellStart"/>
      <w:r w:rsidRPr="004339F9">
        <w:rPr>
          <w:rFonts w:ascii="Calibri" w:hAnsi="Calibri"/>
        </w:rPr>
        <w:t>snapowana</w:t>
      </w:r>
      <w:proofErr w:type="spellEnd"/>
      <w:r w:rsidRPr="004339F9">
        <w:rPr>
          <w:rFonts w:ascii="Calibri" w:hAnsi="Calibri"/>
        </w:rPr>
        <w:t>) do granic działek ewidencyjnych,</w:t>
      </w:r>
    </w:p>
    <w:p w:rsidR="00497923" w:rsidRPr="004339F9" w:rsidRDefault="00497923" w:rsidP="00497923">
      <w:pPr>
        <w:numPr>
          <w:ilvl w:val="1"/>
          <w:numId w:val="14"/>
        </w:numPr>
        <w:tabs>
          <w:tab w:val="left" w:pos="142"/>
        </w:tabs>
        <w:spacing w:after="0" w:line="276" w:lineRule="auto"/>
        <w:ind w:left="1133" w:hanging="425"/>
        <w:contextualSpacing/>
        <w:jc w:val="both"/>
        <w:rPr>
          <w:rFonts w:ascii="Calibri" w:hAnsi="Calibri" w:cs="Arial"/>
          <w:b/>
        </w:rPr>
      </w:pPr>
      <w:r w:rsidRPr="004339F9">
        <w:rPr>
          <w:rFonts w:ascii="Calibri" w:hAnsi="Calibri"/>
        </w:rPr>
        <w:t xml:space="preserve">Nazwę poszczególnych klas obiektów należy zapisać w formacie: </w:t>
      </w:r>
      <w:proofErr w:type="spellStart"/>
      <w:r w:rsidRPr="004339F9">
        <w:rPr>
          <w:rFonts w:ascii="Calibri" w:hAnsi="Calibri"/>
        </w:rPr>
        <w:t>terytGminy_nazwa</w:t>
      </w:r>
      <w:proofErr w:type="spellEnd"/>
      <w:r w:rsidRPr="004339F9">
        <w:rPr>
          <w:rFonts w:ascii="Calibri" w:hAnsi="Calibri"/>
        </w:rPr>
        <w:t>, np.: 160233_obsz_rewit</w:t>
      </w:r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160233_podobsz_rewit</w:t>
      </w:r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160233_obsz_zdegradowane</w:t>
      </w:r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160233_podobsz_zdegr</w:t>
      </w:r>
    </w:p>
    <w:p w:rsidR="00497923" w:rsidRPr="004339F9" w:rsidRDefault="00497923" w:rsidP="00497923">
      <w:pPr>
        <w:tabs>
          <w:tab w:val="left" w:pos="142"/>
        </w:tabs>
        <w:spacing w:line="276" w:lineRule="auto"/>
        <w:ind w:left="1133"/>
        <w:contextualSpacing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160233_plan_rewit</w:t>
      </w:r>
    </w:p>
    <w:p w:rsidR="00497923" w:rsidRDefault="00497923" w:rsidP="00497923">
      <w:pPr>
        <w:tabs>
          <w:tab w:val="left" w:pos="142"/>
        </w:tabs>
        <w:spacing w:line="276" w:lineRule="auto"/>
        <w:ind w:left="1134"/>
        <w:jc w:val="both"/>
        <w:rPr>
          <w:rFonts w:ascii="Calibri" w:hAnsi="Calibri"/>
        </w:rPr>
      </w:pPr>
      <w:r w:rsidRPr="004339F9">
        <w:rPr>
          <w:rFonts w:ascii="Calibri" w:hAnsi="Calibri"/>
        </w:rPr>
        <w:t>160233_strefa_rewit</w:t>
      </w:r>
    </w:p>
    <w:p w:rsidR="00497923" w:rsidRPr="004339F9" w:rsidRDefault="00497923" w:rsidP="00497923">
      <w:pPr>
        <w:tabs>
          <w:tab w:val="left" w:pos="142"/>
        </w:tabs>
        <w:spacing w:line="276" w:lineRule="auto"/>
        <w:ind w:left="709"/>
        <w:jc w:val="both"/>
      </w:pPr>
      <w:r w:rsidRPr="004339F9">
        <w:t>Szczegółowy wykaz atrybutów dla klas obiektów zawarto w Załączniku do OPZ dot. wymagań technicznych do opracowania bazy danych przestrzennych w wersji wektorowej</w:t>
      </w:r>
    </w:p>
    <w:p w:rsidR="00497923" w:rsidRPr="00814A64" w:rsidRDefault="00497923" w:rsidP="00497923">
      <w:pPr>
        <w:pStyle w:val="Akapitzlist"/>
        <w:numPr>
          <w:ilvl w:val="0"/>
          <w:numId w:val="3"/>
        </w:numPr>
        <w:tabs>
          <w:tab w:val="clear" w:pos="360"/>
        </w:tabs>
        <w:autoSpaceDE w:val="0"/>
        <w:spacing w:after="0" w:line="276" w:lineRule="auto"/>
        <w:ind w:left="709" w:hanging="283"/>
        <w:jc w:val="both"/>
      </w:pPr>
      <w:r>
        <w:t xml:space="preserve">Przygotowanie projektu uchwały w sprawie wyznaczenia obszaru zdegradowanego i obszaru rewitalizacji wraz z załącznikami mapowymi. </w:t>
      </w:r>
    </w:p>
    <w:p w:rsidR="00497923" w:rsidRDefault="00497923" w:rsidP="00497923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lang w:eastAsia="pl-PL"/>
        </w:rPr>
      </w:pPr>
      <w:r w:rsidRPr="001614FC">
        <w:rPr>
          <w:rFonts w:eastAsia="Times New Roman"/>
          <w:lang w:eastAsia="pl-PL"/>
        </w:rPr>
        <w:t xml:space="preserve">Przygotowanie </w:t>
      </w:r>
      <w:r>
        <w:rPr>
          <w:rFonts w:eastAsia="Times New Roman"/>
          <w:lang w:eastAsia="pl-PL"/>
        </w:rPr>
        <w:t xml:space="preserve">gminnego </w:t>
      </w:r>
      <w:r w:rsidRPr="001614FC">
        <w:rPr>
          <w:rFonts w:eastAsia="Times New Roman"/>
          <w:lang w:eastAsia="pl-PL"/>
        </w:rPr>
        <w:t xml:space="preserve">programu rewitalizacji pełniącego rolę IIT zostanie dokonane poprzez sporządzenie </w:t>
      </w:r>
      <w:r w:rsidRPr="001614FC">
        <w:rPr>
          <w:rFonts w:eastAsia="Times New Roman"/>
          <w:i/>
          <w:lang w:eastAsia="pl-PL"/>
        </w:rPr>
        <w:t>„G</w:t>
      </w:r>
      <w:r>
        <w:rPr>
          <w:rFonts w:eastAsia="Times New Roman"/>
          <w:i/>
          <w:lang w:eastAsia="pl-PL"/>
        </w:rPr>
        <w:t>minnego Programu Rewitalizacji Olszanki</w:t>
      </w:r>
      <w:r w:rsidRPr="001614FC">
        <w:rPr>
          <w:rFonts w:eastAsia="Times New Roman"/>
          <w:i/>
          <w:lang w:eastAsia="pl-PL"/>
        </w:rPr>
        <w:t>”</w:t>
      </w:r>
      <w:r w:rsidRPr="001614FC">
        <w:rPr>
          <w:rFonts w:eastAsia="Times New Roman"/>
          <w:iCs/>
          <w:lang w:eastAsia="pl-PL"/>
        </w:rPr>
        <w:t>, zwanego dalej GPR</w:t>
      </w:r>
      <w:r w:rsidRPr="001614FC">
        <w:rPr>
          <w:rFonts w:eastAsia="Times New Roman"/>
          <w:lang w:eastAsia="pl-PL"/>
        </w:rPr>
        <w:t>, zgodnie z postanowieniami ustawy z dnia 9 października 2015 r. o rewitalizacji oraz ustawy o zasadach realizacji zadań finansowanych ze środków europejskich w perspektywie finansowej 2021 – 2027,</w:t>
      </w:r>
      <w:r w:rsidRPr="0004085D">
        <w:rPr>
          <w:rFonts w:cstheme="minorHAnsi"/>
        </w:rPr>
        <w:t xml:space="preserve"> </w:t>
      </w:r>
      <w:r>
        <w:rPr>
          <w:rFonts w:cstheme="minorHAnsi"/>
        </w:rPr>
        <w:t xml:space="preserve">zgodnie z </w:t>
      </w:r>
      <w:r w:rsidRPr="00CE2E5C">
        <w:rPr>
          <w:rFonts w:cstheme="minorHAnsi"/>
        </w:rPr>
        <w:t>Zasadami realizacji instrumentów terytorialnych w Polsce w perspektywie finansowej UE na lata 2021-2027</w:t>
      </w:r>
      <w:r>
        <w:rPr>
          <w:rFonts w:cstheme="minorHAnsi"/>
        </w:rPr>
        <w:t>,</w:t>
      </w:r>
      <w:r w:rsidRPr="001614FC">
        <w:rPr>
          <w:rFonts w:eastAsia="Times New Roman"/>
          <w:lang w:eastAsia="pl-PL"/>
        </w:rPr>
        <w:t xml:space="preserve"> obejmujące</w:t>
      </w:r>
      <w:r>
        <w:rPr>
          <w:rFonts w:eastAsia="Times New Roman"/>
          <w:lang w:eastAsia="pl-PL"/>
        </w:rPr>
        <w:t>go</w:t>
      </w:r>
      <w:r w:rsidRPr="001614FC">
        <w:rPr>
          <w:rFonts w:eastAsia="Times New Roman"/>
          <w:lang w:eastAsia="pl-PL"/>
        </w:rPr>
        <w:t>:</w:t>
      </w:r>
    </w:p>
    <w:p w:rsidR="00497923" w:rsidRPr="00F57358" w:rsidRDefault="00497923" w:rsidP="0049792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lastRenderedPageBreak/>
        <w:t xml:space="preserve">przeprowadzenie szczegółowej diagnozy czynników i zjawisk kryzysowych oraz diagnozy lokalnych potencjałów poprzez wskazanie potrzeb rewitalizacyjnych występujących na obszarze </w:t>
      </w:r>
      <w:r>
        <w:rPr>
          <w:rFonts w:eastAsia="Times New Roman"/>
          <w:lang w:eastAsia="pl-PL"/>
        </w:rPr>
        <w:t xml:space="preserve">rewitalizacji </w:t>
      </w:r>
      <w:r w:rsidRPr="00F57358">
        <w:rPr>
          <w:rFonts w:eastAsia="Times New Roman"/>
          <w:lang w:eastAsia="pl-PL"/>
        </w:rPr>
        <w:t xml:space="preserve">– w oparciu o bieżące uwarunkowania rozwojowe i dane statystyczne nie starsze niż z </w:t>
      </w:r>
      <w:r>
        <w:rPr>
          <w:rFonts w:eastAsia="Times New Roman"/>
          <w:lang w:eastAsia="pl-PL"/>
        </w:rPr>
        <w:t>2021</w:t>
      </w:r>
      <w:r w:rsidRPr="00F57358">
        <w:rPr>
          <w:rFonts w:eastAsia="Times New Roman"/>
          <w:lang w:eastAsia="pl-PL"/>
        </w:rPr>
        <w:t xml:space="preserve"> r.; 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>dokonanie opisu powiązań GPR z dokumentami strategicznymi gminy, w tym</w:t>
      </w:r>
      <w:r w:rsidRPr="00F82F39">
        <w:rPr>
          <w:rFonts w:eastAsia="Times New Roman" w:cstheme="minorHAnsi"/>
          <w:lang w:eastAsia="pl-PL"/>
        </w:rPr>
        <w:t>:</w:t>
      </w:r>
      <w:r w:rsidRPr="000929D4">
        <w:rPr>
          <w:rFonts w:cstheme="minorHAnsi"/>
          <w:i/>
          <w:iCs/>
          <w:color w:val="5F6368"/>
          <w:shd w:val="clear" w:color="auto" w:fill="FFFFFF"/>
        </w:rPr>
        <w:t xml:space="preserve"> </w:t>
      </w:r>
      <w:r w:rsidRPr="000929D4">
        <w:rPr>
          <w:rStyle w:val="Uwydatnienie"/>
          <w:rFonts w:cstheme="minorHAnsi"/>
          <w:i w:val="0"/>
          <w:iCs w:val="0"/>
          <w:shd w:val="clear" w:color="auto" w:fill="FFFFFF"/>
        </w:rPr>
        <w:t>studium uwarunkowań i kierunków zagospodarowania przestrzennego</w:t>
      </w:r>
      <w:r w:rsidRPr="00C769AD">
        <w:rPr>
          <w:rFonts w:eastAsia="Times New Roman"/>
          <w:lang w:eastAsia="pl-PL"/>
        </w:rPr>
        <w:t>, strategii</w:t>
      </w:r>
      <w:r w:rsidRPr="00F57358">
        <w:rPr>
          <w:rFonts w:eastAsia="Times New Roman"/>
          <w:lang w:eastAsia="pl-PL"/>
        </w:rPr>
        <w:t xml:space="preserve"> rozwoju gminy</w:t>
      </w:r>
      <w:r>
        <w:rPr>
          <w:rFonts w:eastAsia="Times New Roman"/>
          <w:lang w:eastAsia="pl-PL"/>
        </w:rPr>
        <w:t xml:space="preserve"> </w:t>
      </w:r>
      <w:r w:rsidRPr="00F57358">
        <w:rPr>
          <w:rFonts w:eastAsia="Times New Roman"/>
          <w:lang w:eastAsia="pl-PL"/>
        </w:rPr>
        <w:t>i strategii rozwiązywania problemów społecznych;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opisu wizji stanu obszaru po przeprowadzeniu rewitalizacji;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opracowanie </w:t>
      </w:r>
      <w:r w:rsidRPr="00F57358">
        <w:rPr>
          <w:rFonts w:eastAsia="Times New Roman"/>
          <w:lang w:eastAsia="pl-PL"/>
        </w:rPr>
        <w:t>celów rewitalizacji oraz odpowiadających im kierunków działań służących eliminacji lub ograniczeniu negatywnych zjawisk;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opracowanie </w:t>
      </w:r>
      <w:r w:rsidRPr="00F57358">
        <w:rPr>
          <w:rFonts w:eastAsia="Times New Roman"/>
          <w:lang w:eastAsia="pl-PL"/>
        </w:rPr>
        <w:t>opisu przedsięwzięć rewitalizacyjnych, w szczególności o charakterze społecznym oraz gospodarczym, środowiskowym, przestrzenno-funkcjonalnym lub technicznym, ujętych w ramach:</w:t>
      </w:r>
    </w:p>
    <w:p w:rsidR="00497923" w:rsidRPr="00F57358" w:rsidRDefault="00497923" w:rsidP="00497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lang w:eastAsia="pl-PL"/>
        </w:rPr>
        <w:t xml:space="preserve">listy planowanych </w:t>
      </w:r>
      <w:r w:rsidRPr="00F57358">
        <w:rPr>
          <w:rFonts w:eastAsia="Times New Roman"/>
          <w:color w:val="000000"/>
          <w:lang w:eastAsia="pl-PL"/>
        </w:rPr>
        <w:t>podstawowych przedsięwzięć rewitalizacyjnych, wraz z ich opisami zawierającymi w odniesieniu do każdego przedsięwzięcia: nazwy i wskazanie podmiotów je realizujących, zakresu realizowanych zadań, lokalizacji, szacowanej wartości, prognozowanych rezultaty wraz ze sposobem ich oceny w odniesieniu do celów GPR, opisu działań zapewniających dostępność osobom ze szczególnymi potrzebami, o których mowa w</w:t>
      </w:r>
      <w:r w:rsidRPr="00F57358">
        <w:rPr>
          <w:rFonts w:eastAsia="Times New Roman"/>
          <w:lang w:eastAsia="pl-PL"/>
        </w:rPr>
        <w:t xml:space="preserve"> ustawie </w:t>
      </w:r>
      <w:r w:rsidRPr="00F57358">
        <w:rPr>
          <w:rFonts w:eastAsia="Times New Roman"/>
          <w:color w:val="000000"/>
          <w:lang w:eastAsia="pl-PL"/>
        </w:rPr>
        <w:t>z dnia 19 lipca 2019 r. o zapewnianiu dostępności osobom ze szczególnymi potrzebami, o ile dane te są możliwe do wskazania,</w:t>
      </w:r>
    </w:p>
    <w:p w:rsidR="00497923" w:rsidRPr="00F57358" w:rsidRDefault="00497923" w:rsidP="0049792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listy</w:t>
      </w:r>
      <w:r w:rsidRPr="00F57358">
        <w:rPr>
          <w:rFonts w:eastAsia="Times New Roman"/>
          <w:color w:val="000000"/>
          <w:lang w:eastAsia="pl-PL"/>
        </w:rPr>
        <w:t xml:space="preserve"> pozostałych dopuszczalnych przedsięwzięć rewitalizacyjnych, realizujących kierunki działań służących eliminacji lub ograniczeniu negatywnych zjawisk;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>określenie mechanizmów integrowania działań, o których mowa w art. 15 ust 1 pkt 4 Ustawy o rewitalizacji oraz przedsięwzięć rewitalizacyjnych;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 w:rsidRPr="00F57358">
        <w:rPr>
          <w:rFonts w:eastAsia="Times New Roman"/>
          <w:lang w:eastAsia="pl-PL"/>
        </w:rPr>
        <w:t>określenie szacunkowych ram finansowych wraz z szacunkowym wskazaniem środków finansowych ze źródeł publicznych i prywatnych;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opisu struktury zarządzania realizacją GPR, ze wskazaniem kosztów zarządzania i ramowym harmonogramem realizacji GPR;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opracowanie</w:t>
      </w:r>
      <w:r w:rsidRPr="00F57358">
        <w:rPr>
          <w:rFonts w:eastAsia="Times New Roman"/>
          <w:lang w:eastAsia="pl-PL"/>
        </w:rPr>
        <w:t xml:space="preserve"> systemu monitorowania i oceny GPR;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określenie niezbędnych zmian w uchwałach, o których mowa </w:t>
      </w:r>
      <w:r w:rsidRPr="00C769AD">
        <w:rPr>
          <w:rFonts w:eastAsia="Times New Roman"/>
          <w:color w:val="000000"/>
          <w:lang w:eastAsia="pl-PL"/>
        </w:rPr>
        <w:t xml:space="preserve">w </w:t>
      </w:r>
      <w:hyperlink r:id="rId8" w:anchor="/document/16903658?unitId=art(21)ust(1)&amp;cm=DOCUMENT" w:history="1">
        <w:r w:rsidRPr="000929D4">
          <w:rPr>
            <w:rFonts w:eastAsia="Times New Roman"/>
            <w:color w:val="000000"/>
            <w:lang w:eastAsia="pl-PL"/>
          </w:rPr>
          <w:t>art. 21 ust. 1</w:t>
        </w:r>
      </w:hyperlink>
      <w:r w:rsidRPr="00C769AD">
        <w:rPr>
          <w:rFonts w:eastAsia="Times New Roman"/>
          <w:color w:val="000000"/>
          <w:lang w:eastAsia="pl-PL"/>
        </w:rPr>
        <w:t xml:space="preserve"> ustaw</w:t>
      </w:r>
      <w:r w:rsidRPr="00F57358">
        <w:rPr>
          <w:rFonts w:eastAsia="Times New Roman"/>
          <w:color w:val="000000"/>
          <w:lang w:eastAsia="pl-PL"/>
        </w:rPr>
        <w:t xml:space="preserve"> z dnia 21 czerwca 2001 r. o ochronie praw lokatorów, mieszkaniowym zasobie gminy i o zmianie Kodeksu cywilnego (</w:t>
      </w:r>
      <w:r w:rsidRPr="000929D4">
        <w:rPr>
          <w:rStyle w:val="cf01"/>
          <w:rFonts w:cstheme="minorHAnsi"/>
        </w:rPr>
        <w:t xml:space="preserve">Dz. U. z 2022 r. poz. 172 z </w:t>
      </w:r>
      <w:proofErr w:type="spellStart"/>
      <w:r w:rsidRPr="000929D4">
        <w:rPr>
          <w:rStyle w:val="cf01"/>
          <w:rFonts w:cstheme="minorHAnsi"/>
        </w:rPr>
        <w:t>późn</w:t>
      </w:r>
      <w:proofErr w:type="spellEnd"/>
      <w:r w:rsidRPr="000929D4">
        <w:rPr>
          <w:rStyle w:val="cf01"/>
          <w:rFonts w:cstheme="minorHAnsi"/>
        </w:rPr>
        <w:t>. zm.</w:t>
      </w:r>
      <w:r w:rsidRPr="00F57358">
        <w:rPr>
          <w:rFonts w:eastAsia="Times New Roman"/>
          <w:color w:val="000000"/>
          <w:lang w:eastAsia="pl-PL"/>
        </w:rPr>
        <w:t>);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określenie niezbędnych zmian w uchwale, o której mowa w art. 7 ust. 3 ustawy o rewitalizacji;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wskazanie, czy na obszarze rewitalizacji ma zostać ustanowiona Specjalna Strefa Rewitalizacji, o której mowa w art. 25 ustawy o rewitalizacji, wraz ze wskazaniem okresu jej obowiązywania;</w:t>
      </w:r>
    </w:p>
    <w:p w:rsidR="00497923" w:rsidRPr="00F57358" w:rsidRDefault="00497923" w:rsidP="00497923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sposobu realizacji GPR w zakresie planowania i zagospodarowania przestrzennego, w tym: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zakresu niezbędnych zmian w studium uwarunkowań i kierunków zagospodarowania przestrzennego gminy</w:t>
      </w:r>
      <w:r>
        <w:rPr>
          <w:rFonts w:eastAsia="Times New Roman"/>
          <w:color w:val="000000"/>
          <w:lang w:eastAsia="pl-PL"/>
        </w:rPr>
        <w:t>;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>wskazanie miejscowych planów zagospodarowania przestrzennego koniecznych                     do uchwalenia albo zmiany</w:t>
      </w:r>
      <w:r>
        <w:rPr>
          <w:rFonts w:eastAsia="Times New Roman"/>
          <w:color w:val="000000"/>
          <w:lang w:eastAsia="pl-PL"/>
        </w:rPr>
        <w:t>;</w:t>
      </w:r>
    </w:p>
    <w:p w:rsidR="00497923" w:rsidRPr="00F57358" w:rsidRDefault="00497923" w:rsidP="00497923">
      <w:pPr>
        <w:pStyle w:val="Akapitzlist"/>
        <w:numPr>
          <w:ilvl w:val="1"/>
          <w:numId w:val="6"/>
        </w:numPr>
        <w:spacing w:after="0" w:line="276" w:lineRule="auto"/>
        <w:ind w:left="1276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lastRenderedPageBreak/>
        <w:t xml:space="preserve">w przypadku wskazania konieczności uchwalenia miejscowego planu </w:t>
      </w:r>
      <w:r>
        <w:rPr>
          <w:rFonts w:eastAsia="Times New Roman"/>
          <w:color w:val="000000"/>
          <w:lang w:eastAsia="pl-PL"/>
        </w:rPr>
        <w:t>rewitalizacji</w:t>
      </w:r>
      <w:r w:rsidRPr="00F57358">
        <w:rPr>
          <w:rFonts w:eastAsia="Times New Roman"/>
          <w:color w:val="000000"/>
          <w:lang w:eastAsia="pl-PL"/>
        </w:rPr>
        <w:t xml:space="preserve">,                  o którym mowa w </w:t>
      </w:r>
      <w:hyperlink r:id="rId9" w:anchor="/document/17027058?unitId=art(37(f))ust(1)&amp;cm=DOCUMENT" w:history="1">
        <w:r w:rsidRPr="00F57358">
          <w:rPr>
            <w:rFonts w:eastAsia="Times New Roman"/>
            <w:color w:val="000000"/>
            <w:u w:val="single"/>
            <w:lang w:eastAsia="pl-PL"/>
          </w:rPr>
          <w:t>art. 37f ust. 1</w:t>
        </w:r>
      </w:hyperlink>
      <w:r w:rsidRPr="00F57358">
        <w:rPr>
          <w:rFonts w:eastAsia="Times New Roman"/>
          <w:color w:val="000000"/>
          <w:lang w:eastAsia="pl-PL"/>
        </w:rPr>
        <w:t xml:space="preserve"> ustawy z dnia 27 marca 2003 r. o planowaniu                                 i zagospodarowaniu przestrzennym - wskazanie granic obszarów, dla których plan ten będzie procedowany łącznie z procedurą scaleń i podziałów nieruchomości,</w:t>
      </w:r>
      <w:r>
        <w:rPr>
          <w:rFonts w:eastAsia="Times New Roman"/>
          <w:color w:val="000000"/>
          <w:lang w:eastAsia="pl-PL"/>
        </w:rPr>
        <w:t xml:space="preserve"> </w:t>
      </w:r>
      <w:r w:rsidRPr="00F57358">
        <w:rPr>
          <w:rFonts w:eastAsia="Times New Roman"/>
          <w:color w:val="000000"/>
          <w:lang w:eastAsia="pl-PL"/>
        </w:rPr>
        <w:t>a także wytyczne w zakresie ustaleń tego planu;</w:t>
      </w:r>
    </w:p>
    <w:p w:rsidR="00497923" w:rsidRDefault="00497923" w:rsidP="00497923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F57358">
        <w:rPr>
          <w:rFonts w:eastAsia="Times New Roman"/>
          <w:color w:val="000000"/>
          <w:lang w:eastAsia="pl-PL"/>
        </w:rPr>
        <w:t xml:space="preserve">załącznik graficzny przedstawiający podstawowe kierunki zmian funkcjonalno-przestrzennych obszaru rewitalizacji sporządzony na mapie w skali co najmniej 1:5000 opracowanej z wykorzystaniem treści mapy zasadniczej, a w przypadku jej braku -  z wykorzystaniem treści mapy ewidencyjnej w rozumieniu </w:t>
      </w:r>
      <w:hyperlink r:id="rId10" w:anchor="/document/16793127?cm=DOCUMENT" w:history="1">
        <w:r w:rsidRPr="00F57358">
          <w:rPr>
            <w:rFonts w:eastAsia="Times New Roman"/>
            <w:color w:val="000000"/>
            <w:lang w:eastAsia="pl-PL"/>
          </w:rPr>
          <w:t>ustawy</w:t>
        </w:r>
      </w:hyperlink>
      <w:r w:rsidRPr="00F57358">
        <w:rPr>
          <w:rFonts w:eastAsia="Times New Roman"/>
          <w:color w:val="000000"/>
          <w:lang w:eastAsia="pl-PL"/>
        </w:rPr>
        <w:t xml:space="preserve"> z dnia 17 maja 1989 r. - Prawo geodezyjne i kartograficzne.</w:t>
      </w:r>
    </w:p>
    <w:p w:rsidR="00497923" w:rsidRPr="00050FB0" w:rsidRDefault="00497923" w:rsidP="00497923">
      <w:pPr>
        <w:numPr>
          <w:ilvl w:val="0"/>
          <w:numId w:val="4"/>
        </w:numPr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Ujęciu </w:t>
      </w:r>
      <w:r w:rsidRPr="00050FB0">
        <w:rPr>
          <w:rFonts w:eastAsia="Times New Roman"/>
          <w:color w:val="000000"/>
          <w:lang w:eastAsia="pl-PL"/>
        </w:rPr>
        <w:t xml:space="preserve">w treści GPR wymogów wynikających z art. 36 ust. 8 ustawy z dnia 28 kwietnia 2022 r. o zasadach realizacji zadań finansowanych ze środków europejskich w perspektywie finansowej 2021 – 2027, </w:t>
      </w:r>
      <w:r>
        <w:rPr>
          <w:rFonts w:eastAsia="Times New Roman"/>
          <w:color w:val="000000"/>
          <w:lang w:eastAsia="pl-PL"/>
        </w:rPr>
        <w:t xml:space="preserve">potwierdzających posiadanie </w:t>
      </w:r>
      <w:r w:rsidRPr="00F57358">
        <w:rPr>
          <w:rFonts w:eastAsia="Times New Roman"/>
          <w:color w:val="000000"/>
          <w:lang w:eastAsia="pl-PL"/>
        </w:rPr>
        <w:t xml:space="preserve">przez GPR </w:t>
      </w:r>
      <w:r>
        <w:rPr>
          <w:rFonts w:eastAsia="Times New Roman"/>
          <w:color w:val="000000"/>
          <w:lang w:eastAsia="pl-PL"/>
        </w:rPr>
        <w:t xml:space="preserve">następujących elementów </w:t>
      </w:r>
      <w:r w:rsidRPr="00F57358">
        <w:rPr>
          <w:rFonts w:eastAsia="Times New Roman"/>
          <w:color w:val="000000"/>
          <w:lang w:eastAsia="pl-PL"/>
        </w:rPr>
        <w:t>strategii IIT</w:t>
      </w:r>
      <w:r>
        <w:rPr>
          <w:rFonts w:eastAsia="Times New Roman"/>
          <w:color w:val="000000"/>
          <w:lang w:eastAsia="pl-PL"/>
        </w:rPr>
        <w:t xml:space="preserve">: 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synteza</w:t>
      </w:r>
      <w:r w:rsidRPr="00F57358">
        <w:rPr>
          <w:rFonts w:eastAsia="Times New Roman"/>
          <w:color w:val="000000"/>
          <w:lang w:eastAsia="pl-PL"/>
        </w:rPr>
        <w:t xml:space="preserve"> diagnozy obszaru realizacji IIT wraz z analizą problemów, potrzeb i potencjałów rozwojowych, w tym wzajemnych powiązań gospodarczych, społecznych i środowiskowych;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cel</w:t>
      </w:r>
      <w:r>
        <w:rPr>
          <w:rFonts w:eastAsia="Times New Roman"/>
          <w:color w:val="000000"/>
          <w:lang w:eastAsia="pl-PL"/>
        </w:rPr>
        <w:t>e</w:t>
      </w:r>
      <w:r w:rsidRPr="00E708F1">
        <w:rPr>
          <w:rFonts w:eastAsia="Times New Roman"/>
          <w:color w:val="000000"/>
          <w:lang w:eastAsia="pl-PL"/>
        </w:rPr>
        <w:t>, jakie mają być zrealizowane w ramach IIT, z wykorzystaniem podejścia zintegrowanego, oczekiwanych wskaźników rezultatu i produktu powiązanych z realizacją</w:t>
      </w:r>
      <w:r>
        <w:rPr>
          <w:rFonts w:eastAsia="Times New Roman"/>
          <w:color w:val="000000"/>
          <w:lang w:eastAsia="pl-PL"/>
        </w:rPr>
        <w:t xml:space="preserve"> właściwego</w:t>
      </w:r>
      <w:r w:rsidRPr="00E708F1">
        <w:rPr>
          <w:rFonts w:eastAsia="Times New Roman"/>
          <w:color w:val="000000"/>
          <w:lang w:eastAsia="pl-PL"/>
        </w:rPr>
        <w:t xml:space="preserve"> programu;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projekt</w:t>
      </w:r>
      <w:r>
        <w:rPr>
          <w:rFonts w:eastAsia="Times New Roman"/>
          <w:color w:val="000000"/>
          <w:lang w:eastAsia="pl-PL"/>
        </w:rPr>
        <w:t>y</w:t>
      </w:r>
      <w:r w:rsidRPr="00E708F1">
        <w:rPr>
          <w:rFonts w:eastAsia="Times New Roman"/>
          <w:color w:val="000000"/>
          <w:lang w:eastAsia="pl-PL"/>
        </w:rPr>
        <w:t xml:space="preserve"> realizując</w:t>
      </w:r>
      <w:r>
        <w:rPr>
          <w:rFonts w:eastAsia="Times New Roman"/>
          <w:color w:val="000000"/>
          <w:lang w:eastAsia="pl-PL"/>
        </w:rPr>
        <w:t>e</w:t>
      </w:r>
      <w:r w:rsidRPr="00E708F1">
        <w:rPr>
          <w:rFonts w:eastAsia="Times New Roman"/>
          <w:color w:val="000000"/>
          <w:lang w:eastAsia="pl-PL"/>
        </w:rPr>
        <w:t xml:space="preserve"> cele, o których mowa w pkt a, wraz z informacją na temat sposobu ich wskazania oraz powiązania z innymi projektami;</w:t>
      </w:r>
    </w:p>
    <w:p w:rsidR="00497923" w:rsidRDefault="00497923" w:rsidP="0049792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708F1">
        <w:rPr>
          <w:rFonts w:eastAsia="Times New Roman"/>
          <w:color w:val="000000"/>
          <w:lang w:eastAsia="pl-PL"/>
        </w:rPr>
        <w:t>opis procesu zaangażowania partnerów społeczno-gospodarczych oraz właściwych podmiotów reprezentujących społeczeństwo obywatelskie, podmiotów działających na rzecz ochrony środowiska oraz podmiotów odpowiedzialnych za promowanie włączenia społecznego, praw podstawowych, praw osób niepełnosprawnych, równości płci i niedyskryminacji w pracach nad przygotowaniem i wdrażaniem strategii IIT.</w:t>
      </w:r>
    </w:p>
    <w:p w:rsidR="00497923" w:rsidRPr="004B37E7" w:rsidRDefault="00497923" w:rsidP="004979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4B37E7">
        <w:rPr>
          <w:rFonts w:eastAsia="Times New Roman"/>
          <w:color w:val="000000"/>
          <w:lang w:eastAsia="pl-PL"/>
        </w:rPr>
        <w:t xml:space="preserve">Ujęciu w treści GPR cech przypisanych przez </w:t>
      </w:r>
      <w:r w:rsidRPr="000929D4">
        <w:rPr>
          <w:rFonts w:cstheme="minorHAnsi"/>
          <w:i/>
        </w:rPr>
        <w:t>Zasady realizacji instrumentów terytorialnych w Polsce w perspektywie finansowej UE na lata 2021-2027</w:t>
      </w:r>
      <w:r w:rsidRPr="004B37E7">
        <w:rPr>
          <w:rFonts w:cstheme="minorHAnsi"/>
          <w:i/>
        </w:rPr>
        <w:t xml:space="preserve">, </w:t>
      </w:r>
      <w:r w:rsidRPr="000929D4">
        <w:rPr>
          <w:rFonts w:cstheme="minorHAnsi"/>
        </w:rPr>
        <w:t>a w szczególności</w:t>
      </w:r>
      <w:r w:rsidRPr="004B37E7">
        <w:rPr>
          <w:rFonts w:cstheme="minorHAnsi"/>
        </w:rPr>
        <w:t>:</w:t>
      </w:r>
      <w:r w:rsidRPr="000929D4">
        <w:rPr>
          <w:rFonts w:cstheme="minorHAnsi"/>
        </w:rPr>
        <w:t xml:space="preserve"> </w:t>
      </w:r>
      <w:r w:rsidRPr="004B37E7">
        <w:rPr>
          <w:rFonts w:cstheme="minorHAnsi"/>
        </w:rPr>
        <w:t xml:space="preserve">1) kompleksowość i podejście zintegrowane, 2) koncentracja, 3) </w:t>
      </w:r>
      <w:r>
        <w:rPr>
          <w:rFonts w:cstheme="minorHAnsi"/>
        </w:rPr>
        <w:t>k</w:t>
      </w:r>
      <w:r w:rsidRPr="004B37E7">
        <w:rPr>
          <w:rFonts w:cstheme="minorHAnsi"/>
        </w:rPr>
        <w:t>omplementarność przedsięwzięć rewitalizacyjnych.</w:t>
      </w:r>
    </w:p>
    <w:p w:rsidR="00497923" w:rsidRPr="00814A64" w:rsidRDefault="00497923" w:rsidP="00497923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spacing w:after="0" w:line="276" w:lineRule="auto"/>
        <w:ind w:left="360"/>
        <w:jc w:val="both"/>
      </w:pPr>
      <w:r w:rsidRPr="00814A64">
        <w:t xml:space="preserve">Przygotowanie uchwały Rady </w:t>
      </w:r>
      <w:r>
        <w:t>Gminy</w:t>
      </w:r>
      <w:r w:rsidRPr="00814A64">
        <w:t xml:space="preserve"> określającej zasady wyznaczania składu oraz działania Komitetu Rewitalizacji</w:t>
      </w:r>
      <w:r>
        <w:t xml:space="preserve"> w</w:t>
      </w:r>
      <w:r w:rsidRPr="00814A64">
        <w:t xml:space="preserve">raz z procedurą konsultacji społecznych projektu </w:t>
      </w:r>
      <w:r>
        <w:t>uchwały.</w:t>
      </w:r>
    </w:p>
    <w:p w:rsidR="00497923" w:rsidRPr="00EA2E16" w:rsidRDefault="00497923" w:rsidP="00497923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Wykonawca zobowiązany jest do: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współpracy z Zamawiającym, co oznacza udział przedstawiciela Wykonawcy w min. 3 spotkaniach w siedzibie Zamawiającego;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przeprowadzenia konsultacji społecznych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projektu uchwały w sprawie wyznaczenia obszaru zdegradowanego i obszaru rewitalizacji;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 xml:space="preserve">projektu uchwały w sprawie wyznaczenia składu oraz działania Komitetu Rewitalizacji; </w:t>
      </w:r>
    </w:p>
    <w:p w:rsidR="00497923" w:rsidRDefault="00497923" w:rsidP="00497923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projektu GPR</w:t>
      </w:r>
      <w:r>
        <w:rPr>
          <w:rFonts w:eastAsia="Times New Roman"/>
          <w:color w:val="000000"/>
          <w:lang w:eastAsia="pl-PL"/>
        </w:rPr>
        <w:t>;</w:t>
      </w:r>
    </w:p>
    <w:p w:rsidR="00497923" w:rsidRDefault="00497923" w:rsidP="00497923">
      <w:pPr>
        <w:autoSpaceDE w:val="0"/>
        <w:autoSpaceDN w:val="0"/>
        <w:adjustRightInd w:val="0"/>
        <w:spacing w:after="0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w f</w:t>
      </w:r>
      <w:r w:rsidRPr="00EA2E16">
        <w:rPr>
          <w:rFonts w:eastAsia="Times New Roman"/>
          <w:color w:val="000000"/>
          <w:lang w:eastAsia="pl-PL"/>
        </w:rPr>
        <w:t>ormach wskazanych w ustawie o rewitalizacji art. 6 ust. 3 pkt 1 i 2), w tym co najmniej organizacja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r w:rsidRPr="000929D4">
        <w:rPr>
          <w:rFonts w:eastAsia="Times New Roman"/>
          <w:color w:val="000000"/>
          <w:lang w:eastAsia="pl-PL"/>
        </w:rPr>
        <w:lastRenderedPageBreak/>
        <w:t>1 warsztatu diagnostycznego dla liderów społecznych, przedstawicieli Urzędu Gminy, Radnych, przedstawicieli biznesu, mieszkańców</w:t>
      </w:r>
      <w:r>
        <w:rPr>
          <w:rFonts w:eastAsia="Times New Roman"/>
          <w:color w:val="000000"/>
          <w:lang w:eastAsia="pl-PL"/>
        </w:rPr>
        <w:t>;</w:t>
      </w:r>
    </w:p>
    <w:p w:rsidR="00497923" w:rsidRPr="000929D4" w:rsidRDefault="00497923" w:rsidP="0049792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eastAsia="Times New Roman"/>
          <w:color w:val="000000"/>
          <w:lang w:eastAsia="pl-PL"/>
        </w:rPr>
      </w:pPr>
      <w:r w:rsidRPr="000929D4">
        <w:rPr>
          <w:rFonts w:eastAsia="Times New Roman"/>
          <w:color w:val="000000"/>
          <w:lang w:eastAsia="pl-PL"/>
        </w:rPr>
        <w:t>minimum trzech spotkań konsultacyjnych z mieszkańcami wraz z opracowaniem raportów podsumowujących – po jednym na każdy proces konsultacji ujętych w zamówieniu projektów uchwał;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asysty przy uzyskaniu opinii i uzgodnień od podmiotów (wskazanych w art. 17 ust. 2 pkt 4 lit. a ustawy o rewitalizacji) a w przypadku uwag naniesienie poprawek do</w:t>
      </w:r>
      <w:r>
        <w:rPr>
          <w:rFonts w:eastAsia="Times New Roman"/>
          <w:color w:val="000000"/>
          <w:lang w:eastAsia="pl-PL"/>
        </w:rPr>
        <w:t xml:space="preserve"> ww.</w:t>
      </w:r>
      <w:r w:rsidRPr="00EA2E16">
        <w:rPr>
          <w:rFonts w:eastAsia="Times New Roman"/>
          <w:color w:val="000000"/>
          <w:lang w:eastAsia="pl-PL"/>
        </w:rPr>
        <w:t xml:space="preserve"> dokumentu</w:t>
      </w:r>
      <w:r>
        <w:rPr>
          <w:rFonts w:eastAsia="Times New Roman"/>
          <w:color w:val="000000"/>
          <w:lang w:eastAsia="pl-PL"/>
        </w:rPr>
        <w:t>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przeprowadzenia strategicznej oceny oddziaływania na środowisko (jako element warunkowy, uzależniony od uzgodnienia ze stosownymi organami)</w:t>
      </w:r>
      <w:r>
        <w:rPr>
          <w:rFonts w:eastAsia="Times New Roman"/>
          <w:color w:val="000000"/>
          <w:lang w:eastAsia="pl-PL"/>
        </w:rPr>
        <w:t>;</w:t>
      </w:r>
      <w:r w:rsidRPr="00EA2E16">
        <w:rPr>
          <w:rFonts w:eastAsia="Times New Roman"/>
          <w:color w:val="000000"/>
          <w:lang w:eastAsia="pl-PL"/>
        </w:rPr>
        <w:t xml:space="preserve"> w przypadku stwierdzenia konieczności przeprowadzenia strategicznej oceny oddziaływania</w:t>
      </w:r>
      <w:r>
        <w:rPr>
          <w:rFonts w:eastAsia="Times New Roman"/>
          <w:color w:val="000000"/>
          <w:lang w:eastAsia="pl-PL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>na środowisko projektu GPR</w:t>
      </w:r>
      <w:r>
        <w:rPr>
          <w:rFonts w:eastAsia="Times New Roman"/>
          <w:color w:val="000000"/>
          <w:lang w:eastAsia="pl-PL"/>
        </w:rPr>
        <w:t xml:space="preserve"> – opracowanie prognozy oddziaływania na środowisko</w:t>
      </w:r>
      <w:r w:rsidRPr="00EA2E16">
        <w:rPr>
          <w:rFonts w:eastAsia="Times New Roman"/>
          <w:color w:val="000000"/>
          <w:lang w:eastAsia="pl-PL"/>
        </w:rPr>
        <w:t xml:space="preserve">, która powinna zawierać informacje zgodnie z art. 51 ust. 2 ustawy z dnia 3 października 2008 r. o udostępnianiu informacji o środowisku i </w:t>
      </w:r>
      <w:r w:rsidRPr="00F82F39">
        <w:rPr>
          <w:rFonts w:eastAsia="Times New Roman" w:cstheme="minorHAnsi"/>
          <w:color w:val="000000"/>
          <w:lang w:eastAsia="pl-PL"/>
        </w:rPr>
        <w:t>udziale społeczeństwa w ochronie środowiska oraz o ocenach oddziaływania na środowisko (</w:t>
      </w:r>
      <w:r w:rsidRPr="000929D4">
        <w:rPr>
          <w:rStyle w:val="cf01"/>
          <w:rFonts w:cstheme="minorHAnsi"/>
        </w:rPr>
        <w:t>Dz. U. z 2022 r., poz.1029</w:t>
      </w:r>
      <w:r>
        <w:rPr>
          <w:rStyle w:val="cf01"/>
        </w:rPr>
        <w:t xml:space="preserve"> </w:t>
      </w:r>
      <w:r w:rsidRPr="00EA2E16">
        <w:rPr>
          <w:rFonts w:eastAsia="Times New Roman"/>
          <w:color w:val="000000"/>
          <w:lang w:eastAsia="pl-PL"/>
        </w:rPr>
        <w:t xml:space="preserve">z </w:t>
      </w:r>
      <w:proofErr w:type="spellStart"/>
      <w:r w:rsidRPr="00EA2E16">
        <w:rPr>
          <w:rFonts w:eastAsia="Times New Roman"/>
          <w:color w:val="000000"/>
          <w:lang w:eastAsia="pl-PL"/>
        </w:rPr>
        <w:t>późn</w:t>
      </w:r>
      <w:proofErr w:type="spellEnd"/>
      <w:r w:rsidRPr="00EA2E16">
        <w:rPr>
          <w:rFonts w:eastAsia="Times New Roman"/>
          <w:color w:val="000000"/>
          <w:lang w:eastAsia="pl-PL"/>
        </w:rPr>
        <w:t>. zm.) oraz powinna być zgodna z ustalonym przez organy zakresem opracowania;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asysty w procesie weryfikacji GPR w procedurze wpisu do Wykazu programów rewitalizacji województwa opolskiego, z uwzględnieniem konieczności zmiany GPR w sytuacji negatywnego zaopiniowania dokumentu;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przekazania kompletn</w:t>
      </w:r>
      <w:r>
        <w:rPr>
          <w:rFonts w:eastAsia="Times New Roman"/>
          <w:color w:val="000000"/>
          <w:lang w:eastAsia="pl-PL"/>
        </w:rPr>
        <w:t>ych</w:t>
      </w:r>
      <w:r w:rsidRPr="00EA2E16">
        <w:rPr>
          <w:rFonts w:eastAsia="Times New Roman"/>
          <w:color w:val="000000"/>
          <w:lang w:eastAsia="pl-PL"/>
        </w:rPr>
        <w:t xml:space="preserve"> opracowa</w:t>
      </w:r>
      <w:r>
        <w:rPr>
          <w:rFonts w:eastAsia="Times New Roman"/>
          <w:color w:val="000000"/>
          <w:lang w:eastAsia="pl-PL"/>
        </w:rPr>
        <w:t>ń niezbędnych</w:t>
      </w:r>
      <w:r w:rsidRPr="00EA2E16">
        <w:rPr>
          <w:rFonts w:eastAsia="Times New Roman"/>
          <w:color w:val="000000"/>
          <w:lang w:eastAsia="pl-PL"/>
        </w:rPr>
        <w:t xml:space="preserve"> do </w:t>
      </w:r>
      <w:r>
        <w:rPr>
          <w:rFonts w:eastAsia="Times New Roman"/>
          <w:color w:val="000000"/>
          <w:lang w:eastAsia="pl-PL"/>
        </w:rPr>
        <w:t xml:space="preserve">ich </w:t>
      </w:r>
      <w:r w:rsidRPr="00EA2E16">
        <w:rPr>
          <w:rFonts w:eastAsia="Times New Roman"/>
          <w:color w:val="000000"/>
          <w:lang w:eastAsia="pl-PL"/>
        </w:rPr>
        <w:t>uchwalenia, w tym przygotowanie        uzasadnienia projekt</w:t>
      </w:r>
      <w:r>
        <w:rPr>
          <w:rFonts w:eastAsia="Times New Roman"/>
          <w:color w:val="000000"/>
          <w:lang w:eastAsia="pl-PL"/>
        </w:rPr>
        <w:t>ów</w:t>
      </w:r>
      <w:r w:rsidRPr="00EA2E16">
        <w:rPr>
          <w:rFonts w:eastAsia="Times New Roman"/>
          <w:color w:val="000000"/>
          <w:lang w:eastAsia="pl-PL"/>
        </w:rPr>
        <w:t xml:space="preserve"> uchwał;</w:t>
      </w:r>
    </w:p>
    <w:p w:rsidR="00497923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udziału w prezentacji założeń i celów</w:t>
      </w:r>
      <w:r>
        <w:rPr>
          <w:rFonts w:eastAsia="Times New Roman"/>
          <w:color w:val="000000"/>
          <w:lang w:eastAsia="pl-PL"/>
        </w:rPr>
        <w:t>:</w:t>
      </w:r>
    </w:p>
    <w:p w:rsidR="00497923" w:rsidRDefault="00497923" w:rsidP="0049792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diagnozy w celu wyznaczenia obszaru zdegradowanego i obszaru rewitalizacji;</w:t>
      </w:r>
    </w:p>
    <w:p w:rsidR="00497923" w:rsidRPr="00EA2E16" w:rsidRDefault="00497923" w:rsidP="0049792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GPR oraz dokumentu na posiedzeniach komisji i sesji Rady Gminy;</w:t>
      </w:r>
    </w:p>
    <w:p w:rsidR="00497923" w:rsidRPr="00EA2E16" w:rsidRDefault="00497923" w:rsidP="00497923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eastAsia="Times New Roman"/>
          <w:color w:val="000000"/>
          <w:lang w:eastAsia="pl-PL"/>
        </w:rPr>
      </w:pPr>
      <w:r w:rsidRPr="00EA2E16">
        <w:rPr>
          <w:rFonts w:eastAsia="Times New Roman"/>
          <w:color w:val="000000"/>
          <w:lang w:eastAsia="pl-PL"/>
        </w:rPr>
        <w:t>uwzględnienia w struktur</w:t>
      </w:r>
      <w:r>
        <w:rPr>
          <w:rFonts w:eastAsia="Times New Roman"/>
          <w:color w:val="000000"/>
          <w:lang w:eastAsia="pl-PL"/>
        </w:rPr>
        <w:t xml:space="preserve">ach dokumentów </w:t>
      </w:r>
      <w:r w:rsidRPr="00EA2E16">
        <w:rPr>
          <w:rFonts w:eastAsia="Times New Roman"/>
          <w:color w:val="000000"/>
          <w:lang w:eastAsia="pl-PL"/>
        </w:rPr>
        <w:t>wymagań wynikających z</w:t>
      </w:r>
      <w:r>
        <w:rPr>
          <w:rFonts w:eastAsia="Times New Roman"/>
          <w:color w:val="000000"/>
          <w:lang w:eastAsia="pl-PL"/>
        </w:rPr>
        <w:t xml:space="preserve">e zmiany regulacji prawnych tworzących system rewitalizacji w Polsce oraz w województwie opolskim, </w:t>
      </w:r>
      <w:r w:rsidRPr="00EA2E16">
        <w:rPr>
          <w:rFonts w:eastAsia="Times New Roman"/>
          <w:color w:val="000000"/>
          <w:lang w:eastAsia="pl-PL"/>
        </w:rPr>
        <w:t xml:space="preserve">jeżeli takowe zostaną sformułowane </w:t>
      </w:r>
      <w:r>
        <w:rPr>
          <w:rFonts w:eastAsia="Times New Roman"/>
          <w:color w:val="000000"/>
          <w:lang w:eastAsia="pl-PL"/>
        </w:rPr>
        <w:t xml:space="preserve">przez właściwego ministra lub IZ FEO 2021-2027 oraz opublikowane </w:t>
      </w:r>
      <w:r w:rsidRPr="00EA2E16">
        <w:rPr>
          <w:rFonts w:eastAsia="Times New Roman"/>
          <w:color w:val="000000"/>
          <w:lang w:eastAsia="pl-PL"/>
        </w:rPr>
        <w:t>w trakcie obowiązywania umowy.</w:t>
      </w: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Default="001642DE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1642DE" w:rsidRPr="00D871B4" w:rsidRDefault="001642DE" w:rsidP="001642DE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  <w:r w:rsidRPr="00D871B4">
        <w:rPr>
          <w:rFonts w:ascii="Calibri" w:hAnsi="Calibri" w:cs="Calibri"/>
          <w:b/>
        </w:rPr>
        <w:lastRenderedPageBreak/>
        <w:t xml:space="preserve">Załącznik do OPZ dot. wymagań technicznych do </w:t>
      </w:r>
      <w:r w:rsidRPr="00E1561B">
        <w:rPr>
          <w:rFonts w:ascii="Calibri" w:hAnsi="Calibri" w:cs="Calibri"/>
          <w:b/>
        </w:rPr>
        <w:t xml:space="preserve">opracowania </w:t>
      </w:r>
      <w:r>
        <w:rPr>
          <w:rFonts w:ascii="Calibri" w:hAnsi="Calibri" w:cs="Calibri"/>
          <w:b/>
        </w:rPr>
        <w:br/>
      </w:r>
      <w:r w:rsidRPr="00E1561B">
        <w:rPr>
          <w:rFonts w:ascii="Calibri" w:hAnsi="Calibri" w:cs="Calibri"/>
          <w:b/>
        </w:rPr>
        <w:t>bazy danych przestrzennych w wersji wektorowej</w:t>
      </w:r>
    </w:p>
    <w:p w:rsidR="001642DE" w:rsidRPr="00D871B4" w:rsidRDefault="001642DE" w:rsidP="001642DE">
      <w:pPr>
        <w:autoSpaceDE w:val="0"/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:rsidR="001642DE" w:rsidRPr="00D871B4" w:rsidRDefault="001642DE" w:rsidP="001642DE">
      <w:pPr>
        <w:tabs>
          <w:tab w:val="left" w:pos="142"/>
        </w:tabs>
        <w:contextualSpacing/>
        <w:jc w:val="both"/>
        <w:rPr>
          <w:rFonts w:ascii="Calibri" w:hAnsi="Calibri"/>
        </w:rPr>
      </w:pPr>
      <w:r>
        <w:t>Atrybuty klas obiektów należy opisać wg wzoru:</w:t>
      </w:r>
    </w:p>
    <w:p w:rsidR="001642DE" w:rsidRPr="00D871B4" w:rsidRDefault="001642DE" w:rsidP="001642DE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1642DE" w:rsidRPr="00F7343C" w:rsidRDefault="001642DE" w:rsidP="001642DE">
      <w:pPr>
        <w:numPr>
          <w:ilvl w:val="1"/>
          <w:numId w:val="16"/>
        </w:numPr>
        <w:tabs>
          <w:tab w:val="left" w:pos="142"/>
        </w:tabs>
        <w:spacing w:after="120" w:line="240" w:lineRule="auto"/>
        <w:ind w:left="709" w:hanging="425"/>
        <w:jc w:val="both"/>
        <w:rPr>
          <w:rFonts w:ascii="Calibri" w:hAnsi="Calibri" w:cs="Arial"/>
          <w:b/>
          <w:sz w:val="20"/>
          <w:szCs w:val="20"/>
        </w:rPr>
      </w:pPr>
      <w:r w:rsidRPr="00F7343C">
        <w:rPr>
          <w:rFonts w:ascii="Calibri" w:hAnsi="Calibri"/>
          <w:sz w:val="20"/>
          <w:szCs w:val="20"/>
        </w:rPr>
        <w:t xml:space="preserve">Klasa obiektów 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obszary rewitalizacji</w:t>
      </w:r>
      <w:r w:rsidRPr="00F7343C">
        <w:rPr>
          <w:rFonts w:ascii="Calibri" w:hAnsi="Calibri"/>
          <w:color w:val="000000" w:themeColor="text1"/>
          <w:sz w:val="20"/>
          <w:szCs w:val="20"/>
        </w:rPr>
        <w:t xml:space="preserve"> (</w:t>
      </w:r>
      <w:proofErr w:type="spellStart"/>
      <w:r w:rsidRPr="00F7343C">
        <w:rPr>
          <w:rFonts w:ascii="Calibri" w:hAnsi="Calibri"/>
          <w:color w:val="000000" w:themeColor="text1"/>
          <w:sz w:val="20"/>
          <w:szCs w:val="20"/>
        </w:rPr>
        <w:t>teryt_</w:t>
      </w:r>
      <w:r w:rsidRPr="00F7343C">
        <w:rPr>
          <w:rFonts w:ascii="Calibri" w:hAnsi="Calibri"/>
          <w:b/>
          <w:bCs/>
          <w:color w:val="000000" w:themeColor="text1"/>
          <w:sz w:val="20"/>
          <w:szCs w:val="20"/>
        </w:rPr>
        <w:t>obsz_rewit</w:t>
      </w:r>
      <w:proofErr w:type="spellEnd"/>
      <w:r w:rsidRPr="00F7343C">
        <w:rPr>
          <w:rFonts w:ascii="Calibri" w:hAnsi="Calibri"/>
          <w:color w:val="000000" w:themeColor="text1"/>
          <w:sz w:val="20"/>
          <w:szCs w:val="20"/>
        </w:rPr>
        <w:t xml:space="preserve">) </w:t>
      </w:r>
      <w:r w:rsidRPr="00F7343C">
        <w:rPr>
          <w:rFonts w:ascii="Calibri" w:hAnsi="Calibri"/>
          <w:sz w:val="20"/>
          <w:szCs w:val="20"/>
        </w:rPr>
        <w:t>obejmuje następujące atrybuty:</w:t>
      </w: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497"/>
        <w:gridCol w:w="857"/>
        <w:gridCol w:w="6706"/>
      </w:tblGrid>
      <w:tr w:rsidR="001642DE" w:rsidRPr="00D871B4" w:rsidTr="00933747">
        <w:trPr>
          <w:trHeight w:val="345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ny zgodny z bazą TERYT (np. 1601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Nazwa gminy, np. Olszanka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dokumentu źródłowego (BIP, www)</w:t>
            </w:r>
          </w:p>
        </w:tc>
      </w:tr>
      <w:tr w:rsidR="001642DE" w:rsidRPr="00D871B4" w:rsidTr="00933747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N_OB_REW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rewitalizacji w Programie Rewitalizacji (bez cudzysłowów, jeśli brak nazwy proszę wpisać "brak nazwy")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POW_O_REW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rewitalizacji (w ha do dwóch miejsc po przecinku np.: 1,00ha)</w:t>
            </w:r>
          </w:p>
        </w:tc>
      </w:tr>
      <w:tr w:rsidR="001642DE" w:rsidRPr="00D871B4" w:rsidTr="00933747">
        <w:trPr>
          <w:trHeight w:val="53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O_REW_PROC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obszaru rewitalizacji w gminie ((POW_O_REW*100)/powierzchnia gminy z dokładnością do dwóch miejsc po przecinku , np.: 12,13%)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rewitalizacji [osoby], np. 2102</w:t>
            </w:r>
          </w:p>
        </w:tc>
      </w:tr>
      <w:tr w:rsidR="001642DE" w:rsidRPr="00D871B4" w:rsidTr="00933747">
        <w:trPr>
          <w:trHeight w:val="34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LUD_O_PROC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(((LUD*100)/ludność gminy) np. 12,13%)</w:t>
            </w:r>
          </w:p>
        </w:tc>
      </w:tr>
    </w:tbl>
    <w:p w:rsidR="001642DE" w:rsidRPr="00D871B4" w:rsidRDefault="001642DE" w:rsidP="001642DE">
      <w:pPr>
        <w:tabs>
          <w:tab w:val="left" w:pos="142"/>
        </w:tabs>
        <w:spacing w:after="0" w:line="240" w:lineRule="auto"/>
        <w:ind w:left="709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:rsidR="001642DE" w:rsidRPr="00D871B4" w:rsidRDefault="001642DE" w:rsidP="001642DE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podobszary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podobsz_rewit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9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692"/>
        <w:gridCol w:w="932"/>
        <w:gridCol w:w="6451"/>
      </w:tblGrid>
      <w:tr w:rsidR="001642DE" w:rsidRPr="00D871B4" w:rsidTr="00933747">
        <w:trPr>
          <w:trHeight w:val="300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D871B4" w:rsidTr="00933747">
        <w:trPr>
          <w:trHeight w:val="45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char(9)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Numer porządkowy podobszaru rewitalizacji w formacie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teryt_n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gdzie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- nr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gminy, n- kolejna liczba całkowita zaczynając od 1, np.: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_1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gminy np.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Olszanka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podobszaru rewitalizacji w Programie Rewitalizacji (bez cudzysłowów) np. Dzielnica Centrum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POW_PO_REW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rewitalizacji (w ha do dwóch miejsc po przecinku np..: 1,00ha)</w:t>
            </w:r>
          </w:p>
        </w:tc>
      </w:tr>
      <w:tr w:rsidR="001642DE" w:rsidRPr="00D871B4" w:rsidTr="00933747">
        <w:trPr>
          <w:trHeight w:val="465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PO_REW_PRO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podobszaru rewitalizacji w gminie ((POW_PO_REW*100)/powierzchnia gminy z dokładnością do dwóch miejsc po przecinku , np.: 12,13%)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rewitalizacji [osoby]</w:t>
            </w:r>
          </w:p>
        </w:tc>
      </w:tr>
      <w:tr w:rsidR="001642DE" w:rsidRPr="00D871B4" w:rsidTr="00933747">
        <w:trPr>
          <w:trHeight w:val="300"/>
        </w:trPr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LUD_PO_PRO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Udział procentowy liczby ludności w obszarze rewitalizacji w gminie ((LUD*100)/ludność gminy]</w:t>
            </w:r>
          </w:p>
        </w:tc>
      </w:tr>
    </w:tbl>
    <w:p w:rsidR="001642DE" w:rsidRPr="00D871B4" w:rsidRDefault="001642DE" w:rsidP="001642DE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1642DE" w:rsidRPr="00D871B4" w:rsidRDefault="001642DE" w:rsidP="001642DE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obszary zdegradowane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obsz_zdegradowane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8"/>
        <w:gridCol w:w="953"/>
        <w:gridCol w:w="931"/>
        <w:gridCol w:w="6107"/>
      </w:tblGrid>
      <w:tr w:rsidR="001642DE" w:rsidRPr="00D871B4" w:rsidTr="00933747">
        <w:trPr>
          <w:trHeight w:val="300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gminy np.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Olszanka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TYT_PROGR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 obszaru zdegradowanego (bez cudzysłowów), np. Obszar zdegradowany nr 1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obszaru zdegradowanego (w ha do dwóch miejsc po przecinku np.: 1,00ha)</w:t>
            </w:r>
          </w:p>
        </w:tc>
      </w:tr>
      <w:tr w:rsidR="001642DE" w:rsidRPr="00D871B4" w:rsidTr="00933747">
        <w:trPr>
          <w:trHeight w:val="300"/>
        </w:trPr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LUD_OZ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obszarem zdegradowanym [osoby]</w:t>
            </w:r>
          </w:p>
        </w:tc>
      </w:tr>
    </w:tbl>
    <w:p w:rsidR="001642DE" w:rsidRDefault="001642DE" w:rsidP="001642DE">
      <w:pPr>
        <w:tabs>
          <w:tab w:val="left" w:pos="142"/>
        </w:tabs>
        <w:ind w:left="709"/>
        <w:contextualSpacing/>
        <w:jc w:val="both"/>
        <w:rPr>
          <w:rFonts w:ascii="Calibri" w:hAnsi="Calibri" w:cs="Arial"/>
          <w:b/>
        </w:rPr>
      </w:pPr>
    </w:p>
    <w:p w:rsidR="001642DE" w:rsidRPr="00E1561B" w:rsidRDefault="001642DE" w:rsidP="001642DE">
      <w:pPr>
        <w:numPr>
          <w:ilvl w:val="1"/>
          <w:numId w:val="16"/>
        </w:numPr>
        <w:tabs>
          <w:tab w:val="left" w:pos="142"/>
        </w:tabs>
        <w:spacing w:after="0" w:line="24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E1561B">
        <w:rPr>
          <w:rFonts w:ascii="Calibri" w:hAnsi="Calibri"/>
          <w:sz w:val="20"/>
          <w:szCs w:val="20"/>
        </w:rPr>
        <w:t>Klasa obiektów obszary zdegradowane (</w:t>
      </w:r>
      <w:proofErr w:type="spellStart"/>
      <w:r w:rsidRPr="00E1561B">
        <w:rPr>
          <w:rFonts w:ascii="Calibri" w:hAnsi="Calibri"/>
          <w:sz w:val="20"/>
          <w:szCs w:val="20"/>
        </w:rPr>
        <w:t>teryt_</w:t>
      </w:r>
      <w:r w:rsidRPr="00E1561B">
        <w:rPr>
          <w:rFonts w:ascii="Calibri" w:hAnsi="Calibri"/>
          <w:b/>
          <w:bCs/>
          <w:sz w:val="20"/>
          <w:szCs w:val="20"/>
        </w:rPr>
        <w:t>podobsz_zdegr</w:t>
      </w:r>
      <w:proofErr w:type="spellEnd"/>
      <w:r w:rsidRPr="00E1561B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2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941"/>
        <w:gridCol w:w="919"/>
        <w:gridCol w:w="6192"/>
      </w:tblGrid>
      <w:tr w:rsidR="001642DE" w:rsidRPr="00E1561B" w:rsidTr="00933747">
        <w:trPr>
          <w:trHeight w:val="254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1062</w:t>
            </w: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gminy np.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Olszanka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1642DE" w:rsidRPr="00E1561B" w:rsidTr="00933747">
        <w:trPr>
          <w:trHeight w:val="254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Nazwa podobszaru zdegradowanego (bez cudzysłowów), np. Podobszar zdegradowany nr 1</w:t>
            </w:r>
          </w:p>
        </w:tc>
      </w:tr>
      <w:tr w:rsidR="001642DE" w:rsidRPr="00E1561B" w:rsidTr="00933747">
        <w:trPr>
          <w:trHeight w:val="29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Powierzchnia podobszaru zdegradowanego (w ha do dwóch miejsc po przecinku np.: 1,00ha)</w:t>
            </w:r>
          </w:p>
        </w:tc>
      </w:tr>
      <w:tr w:rsidR="001642DE" w:rsidRPr="00E1561B" w:rsidTr="00933747">
        <w:trPr>
          <w:trHeight w:val="301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LUD_POZ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E1561B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1561B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podobszarem zdegradowanym [osoby]</w:t>
            </w:r>
          </w:p>
        </w:tc>
      </w:tr>
    </w:tbl>
    <w:p w:rsidR="001642DE" w:rsidRPr="00E1561B" w:rsidRDefault="001642DE" w:rsidP="001642DE">
      <w:pPr>
        <w:tabs>
          <w:tab w:val="left" w:pos="142"/>
        </w:tabs>
        <w:ind w:left="709"/>
        <w:contextualSpacing/>
        <w:jc w:val="both"/>
        <w:rPr>
          <w:rFonts w:ascii="Calibri" w:hAnsi="Calibri"/>
          <w:sz w:val="20"/>
          <w:szCs w:val="20"/>
        </w:rPr>
      </w:pPr>
    </w:p>
    <w:p w:rsidR="001642DE" w:rsidRPr="00D871B4" w:rsidRDefault="001642DE" w:rsidP="001642DE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miejscowy plan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plan_rewit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497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"/>
        <w:gridCol w:w="751"/>
        <w:gridCol w:w="931"/>
        <w:gridCol w:w="6455"/>
      </w:tblGrid>
      <w:tr w:rsidR="001642DE" w:rsidRPr="00D871B4" w:rsidTr="00933747">
        <w:trPr>
          <w:trHeight w:val="30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gminy np.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Olszanka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miejscowy plan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miejscowy plan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miejscowego planu rewitalizacji (w ha do dwóch miejsc po przecinku np..: 1,00ha)</w:t>
            </w:r>
          </w:p>
        </w:tc>
      </w:tr>
      <w:tr w:rsidR="001642DE" w:rsidRPr="00D871B4" w:rsidTr="00933747">
        <w:trPr>
          <w:trHeight w:val="300"/>
        </w:trPr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LUD_MPR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miejscowym planem rewitalizacji [osoby]</w:t>
            </w:r>
          </w:p>
        </w:tc>
      </w:tr>
    </w:tbl>
    <w:p w:rsidR="001642DE" w:rsidRPr="00D871B4" w:rsidRDefault="001642DE" w:rsidP="001642DE">
      <w:pPr>
        <w:tabs>
          <w:tab w:val="left" w:pos="142"/>
        </w:tabs>
        <w:ind w:left="709"/>
        <w:contextualSpacing/>
        <w:jc w:val="both"/>
        <w:rPr>
          <w:rFonts w:ascii="Calibri" w:hAnsi="Calibri"/>
        </w:rPr>
      </w:pPr>
    </w:p>
    <w:p w:rsidR="001642DE" w:rsidRPr="00D871B4" w:rsidRDefault="001642DE" w:rsidP="001642DE">
      <w:pPr>
        <w:numPr>
          <w:ilvl w:val="1"/>
          <w:numId w:val="16"/>
        </w:numPr>
        <w:tabs>
          <w:tab w:val="left" w:pos="142"/>
        </w:tabs>
        <w:spacing w:after="0" w:line="240" w:lineRule="auto"/>
        <w:ind w:left="709" w:hanging="425"/>
        <w:contextualSpacing/>
        <w:jc w:val="both"/>
        <w:rPr>
          <w:rFonts w:ascii="Calibri" w:hAnsi="Calibri" w:cs="Arial"/>
          <w:sz w:val="20"/>
          <w:szCs w:val="20"/>
        </w:rPr>
      </w:pPr>
      <w:r w:rsidRPr="00D871B4">
        <w:rPr>
          <w:rFonts w:ascii="Calibri" w:hAnsi="Calibri"/>
          <w:sz w:val="20"/>
          <w:szCs w:val="20"/>
        </w:rPr>
        <w:t xml:space="preserve">Klasa obiektów </w:t>
      </w:r>
      <w:r w:rsidRPr="00D871B4">
        <w:rPr>
          <w:rFonts w:ascii="Calibri" w:hAnsi="Calibri"/>
          <w:b/>
          <w:bCs/>
          <w:sz w:val="20"/>
          <w:szCs w:val="20"/>
        </w:rPr>
        <w:t>specjalna strefa rewitalizacji</w:t>
      </w:r>
      <w:r w:rsidRPr="00D871B4">
        <w:rPr>
          <w:rFonts w:ascii="Calibri" w:hAnsi="Calibri"/>
          <w:sz w:val="20"/>
          <w:szCs w:val="20"/>
        </w:rPr>
        <w:t xml:space="preserve"> (</w:t>
      </w:r>
      <w:proofErr w:type="spellStart"/>
      <w:r w:rsidRPr="00D871B4">
        <w:rPr>
          <w:rFonts w:ascii="Calibri" w:hAnsi="Calibri"/>
          <w:sz w:val="20"/>
          <w:szCs w:val="20"/>
        </w:rPr>
        <w:t>teryt_</w:t>
      </w:r>
      <w:r w:rsidRPr="00D871B4">
        <w:rPr>
          <w:rFonts w:ascii="Calibri" w:hAnsi="Calibri"/>
          <w:b/>
          <w:bCs/>
          <w:sz w:val="20"/>
          <w:szCs w:val="20"/>
        </w:rPr>
        <w:t>strefa_rewit</w:t>
      </w:r>
      <w:proofErr w:type="spellEnd"/>
      <w:r w:rsidRPr="00D871B4">
        <w:rPr>
          <w:rFonts w:ascii="Calibri" w:hAnsi="Calibri"/>
          <w:sz w:val="20"/>
          <w:szCs w:val="20"/>
        </w:rPr>
        <w:t>) obejmuje następujące atrybuty: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720"/>
        <w:gridCol w:w="1010"/>
        <w:gridCol w:w="6478"/>
      </w:tblGrid>
      <w:tr w:rsidR="001642DE" w:rsidRPr="00D871B4" w:rsidTr="00933747">
        <w:trPr>
          <w:trHeight w:val="300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Nazwa kolumny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Liczność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Typ/format</w:t>
            </w:r>
          </w:p>
        </w:tc>
        <w:tc>
          <w:tcPr>
            <w:tcW w:w="3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Opis kolumny, przykładowe wartości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char(7)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gminy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TERYT_POW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char(4)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Numer powiatu zgodny z bazą TERYT (np. 160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NAZWA_GM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Nazwa gminy np.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Olszanka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program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LINK_UCHW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program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TYT_PROGR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Tytuł Programu Rewitalizacji (bez cudzysłowów) np. Program rewitalizacji gminy Prószków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Nr uchwały przyjmującej specjalną strefę rewitalizacji, np. XVIII/160/202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text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(255)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Link do uchwały przyjmującej specjalną strefę rewitalizacji (BIP, www)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Powierzchnia specjalnej strefy rewitalizacji (w ha do dwóch miejsc po przecinku np..: 1,00ha)</w:t>
            </w:r>
          </w:p>
        </w:tc>
      </w:tr>
      <w:tr w:rsidR="001642DE" w:rsidRPr="00D871B4" w:rsidTr="00933747">
        <w:trPr>
          <w:trHeight w:val="300"/>
        </w:trPr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LUD_SSR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long</w:t>
            </w:r>
            <w:proofErr w:type="spellEnd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integer</w:t>
            </w:r>
            <w:proofErr w:type="spellEnd"/>
          </w:p>
        </w:tc>
        <w:tc>
          <w:tcPr>
            <w:tcW w:w="3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2DE" w:rsidRPr="00D871B4" w:rsidRDefault="001642DE" w:rsidP="00933747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71B4">
              <w:rPr>
                <w:rFonts w:ascii="Calibri" w:hAnsi="Calibri" w:cs="Calibri"/>
                <w:color w:val="000000"/>
                <w:sz w:val="16"/>
                <w:szCs w:val="16"/>
              </w:rPr>
              <w:t>Liczba ludności objęta specjalną strefą rewitalizacji [osoby]</w:t>
            </w:r>
          </w:p>
        </w:tc>
      </w:tr>
    </w:tbl>
    <w:p w:rsidR="00497923" w:rsidRDefault="00497923" w:rsidP="001642DE">
      <w:pPr>
        <w:autoSpaceDE w:val="0"/>
        <w:spacing w:after="0" w:line="276" w:lineRule="auto"/>
        <w:contextualSpacing/>
        <w:rPr>
          <w:rFonts w:ascii="Calibri" w:hAnsi="Calibri" w:cs="Calibri"/>
          <w:b/>
        </w:rPr>
      </w:pPr>
      <w:bookmarkStart w:id="0" w:name="_GoBack"/>
      <w:bookmarkEnd w:id="0"/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contextualSpacing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497923" w:rsidRDefault="00497923" w:rsidP="00497923">
      <w:pPr>
        <w:autoSpaceDE w:val="0"/>
        <w:spacing w:after="0" w:line="276" w:lineRule="auto"/>
        <w:ind w:left="709"/>
        <w:contextualSpacing/>
        <w:jc w:val="right"/>
        <w:rPr>
          <w:rFonts w:ascii="Calibri" w:hAnsi="Calibri" w:cs="Calibri"/>
          <w:b/>
        </w:rPr>
      </w:pPr>
    </w:p>
    <w:p w:rsidR="00A36959" w:rsidRDefault="00A36959"/>
    <w:sectPr w:rsidR="00A3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B1" w:rsidRDefault="003769B1" w:rsidP="00497923">
      <w:pPr>
        <w:spacing w:after="0" w:line="240" w:lineRule="auto"/>
      </w:pPr>
      <w:r>
        <w:separator/>
      </w:r>
    </w:p>
  </w:endnote>
  <w:endnote w:type="continuationSeparator" w:id="0">
    <w:p w:rsidR="003769B1" w:rsidRDefault="003769B1" w:rsidP="00497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B1" w:rsidRDefault="003769B1" w:rsidP="00497923">
      <w:pPr>
        <w:spacing w:after="0" w:line="240" w:lineRule="auto"/>
      </w:pPr>
      <w:r>
        <w:separator/>
      </w:r>
    </w:p>
  </w:footnote>
  <w:footnote w:type="continuationSeparator" w:id="0">
    <w:p w:rsidR="003769B1" w:rsidRDefault="003769B1" w:rsidP="00497923">
      <w:pPr>
        <w:spacing w:after="0" w:line="240" w:lineRule="auto"/>
      </w:pPr>
      <w:r>
        <w:continuationSeparator/>
      </w:r>
    </w:p>
  </w:footnote>
  <w:footnote w:id="1">
    <w:p w:rsidR="00497923" w:rsidRPr="000929D4" w:rsidRDefault="00497923" w:rsidP="00497923">
      <w:pPr>
        <w:pStyle w:val="Tekstprzypisudolnego"/>
        <w:jc w:val="both"/>
        <w:rPr>
          <w:rFonts w:cstheme="minorHAnsi"/>
          <w:b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5576B">
        <w:rPr>
          <w:rFonts w:cstheme="minorHAnsi"/>
          <w:sz w:val="18"/>
          <w:szCs w:val="18"/>
        </w:rPr>
        <w:t xml:space="preserve">Rozporządzenie Parlamentu Europejskiego i Rady (UE) nr 2021/1060 z dnia 24 czerwca 2021 r. </w:t>
      </w:r>
      <w:r w:rsidRPr="00A5576B">
        <w:rPr>
          <w:rFonts w:cstheme="minorHAnsi"/>
          <w:bCs/>
          <w:sz w:val="18"/>
          <w:szCs w:val="18"/>
        </w:rPr>
        <w:t xml:space="preserve">ustanawiające wspólne przepisy dotyczące Europejskiego Funduszu Rozwoju Regionalnego, Europejskiego Funduszu Społecznego Plus, Funduszu Spójności, Funduszu na rzecz Sprawiedliwej Transformacji i Europejskiego Funduszu Morskiego, Rybackiego i Akwakultury, a także przepisy finansowe na potrzeby tych funduszy oraz na potrzeby Funduszu Azylu, Migracji i Integracji, Funduszu </w:t>
      </w:r>
      <w:r w:rsidRPr="00263444">
        <w:rPr>
          <w:rFonts w:cstheme="minorHAnsi"/>
          <w:bCs/>
          <w:sz w:val="18"/>
          <w:szCs w:val="18"/>
        </w:rPr>
        <w:t>Bezpieczeństwa Wewnętrznego i Instrumentu Wsparcia Finansowego na rzecz Zarządzania Granicami i Polityki Wizowej (Dz. U. L 231/174 z dn. 30.6.2021).</w:t>
      </w:r>
    </w:p>
  </w:footnote>
  <w:footnote w:id="2">
    <w:p w:rsidR="00497923" w:rsidRDefault="00497923" w:rsidP="004979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3444">
        <w:rPr>
          <w:rFonts w:eastAsia="Times New Roman" w:cstheme="minorHAnsi"/>
          <w:bCs/>
          <w:kern w:val="36"/>
          <w:sz w:val="18"/>
          <w:szCs w:val="18"/>
          <w:lang w:eastAsia="pl-PL"/>
        </w:rPr>
        <w:t>Dz.U. 2022 poz. 1079</w:t>
      </w:r>
      <w:r>
        <w:rPr>
          <w:rFonts w:eastAsia="Times New Roman" w:cstheme="minorHAnsi"/>
          <w:bCs/>
          <w:kern w:val="36"/>
          <w:sz w:val="18"/>
          <w:szCs w:val="18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2BC1"/>
    <w:multiLevelType w:val="multilevel"/>
    <w:tmpl w:val="B1348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4A4788"/>
    <w:multiLevelType w:val="hybridMultilevel"/>
    <w:tmpl w:val="D380836E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82CF3"/>
    <w:multiLevelType w:val="hybridMultilevel"/>
    <w:tmpl w:val="64101760"/>
    <w:lvl w:ilvl="0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179B"/>
    <w:multiLevelType w:val="hybridMultilevel"/>
    <w:tmpl w:val="49D6E46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A9140E5"/>
    <w:multiLevelType w:val="hybridMultilevel"/>
    <w:tmpl w:val="EAFEC0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56FFC"/>
    <w:multiLevelType w:val="hybridMultilevel"/>
    <w:tmpl w:val="61603508"/>
    <w:lvl w:ilvl="0" w:tplc="04150019">
      <w:start w:val="1"/>
      <w:numFmt w:val="lowerLetter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4C2F69E4"/>
    <w:multiLevelType w:val="hybridMultilevel"/>
    <w:tmpl w:val="61C65EC4"/>
    <w:lvl w:ilvl="0" w:tplc="0FBE5AB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732F1B"/>
    <w:multiLevelType w:val="hybridMultilevel"/>
    <w:tmpl w:val="9900135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760419"/>
    <w:multiLevelType w:val="hybridMultilevel"/>
    <w:tmpl w:val="E98892D4"/>
    <w:lvl w:ilvl="0" w:tplc="0FBE5AB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F3C228C"/>
    <w:multiLevelType w:val="hybridMultilevel"/>
    <w:tmpl w:val="235E282A"/>
    <w:lvl w:ilvl="0" w:tplc="B24EF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775E1"/>
    <w:multiLevelType w:val="hybridMultilevel"/>
    <w:tmpl w:val="7ECE24D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1C0459"/>
    <w:multiLevelType w:val="hybridMultilevel"/>
    <w:tmpl w:val="E4449B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B24EF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86FA0"/>
    <w:multiLevelType w:val="hybridMultilevel"/>
    <w:tmpl w:val="4192E67C"/>
    <w:lvl w:ilvl="0" w:tplc="B24EFD2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7DF0393"/>
    <w:multiLevelType w:val="hybridMultilevel"/>
    <w:tmpl w:val="C0E00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BA23FBC"/>
    <w:multiLevelType w:val="multilevel"/>
    <w:tmpl w:val="E2BCF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E52322"/>
    <w:multiLevelType w:val="hybridMultilevel"/>
    <w:tmpl w:val="3634B8F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23"/>
    <w:rsid w:val="001642DE"/>
    <w:rsid w:val="003545C9"/>
    <w:rsid w:val="003769B1"/>
    <w:rsid w:val="00497923"/>
    <w:rsid w:val="006C25A3"/>
    <w:rsid w:val="00A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4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923"/>
    <w:rPr>
      <w:vertAlign w:val="superscript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497923"/>
  </w:style>
  <w:style w:type="character" w:customStyle="1" w:styleId="cf01">
    <w:name w:val="cf01"/>
    <w:basedOn w:val="Domylnaczcionkaakapitu"/>
    <w:rsid w:val="00497923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7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9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Normal,Akapit z listą31,Akapit z listą32,maz_wyliczenie,opis dzialania,K-P_odwolanie,A_wyliczenie,Akapit z listą5,Normalny2,Akapit z listą3,normalny tekst,Obiekt,List Paragraph1,Asia 2  Akapit z listą,tekst normalny"/>
    <w:basedOn w:val="Normalny"/>
    <w:link w:val="AkapitzlistZnak"/>
    <w:uiPriority w:val="34"/>
    <w:qFormat/>
    <w:rsid w:val="004979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4979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979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7923"/>
    <w:rPr>
      <w:vertAlign w:val="superscript"/>
    </w:rPr>
  </w:style>
  <w:style w:type="character" w:customStyle="1" w:styleId="AkapitzlistZnak">
    <w:name w:val="Akapit z listą Znak"/>
    <w:aliases w:val="List Paragraph Znak,Normal Znak,Akapit z listą31 Znak,Akapit z listą32 Znak,maz_wyliczenie Znak,opis dzialania Znak,K-P_odwolanie Znak,A_wyliczenie Znak,Akapit z listą5 Znak,Normalny2 Znak,Akapit z listą3 Znak,normalny tekst Znak"/>
    <w:link w:val="Akapitzlist"/>
    <w:uiPriority w:val="34"/>
    <w:qFormat/>
    <w:locked/>
    <w:rsid w:val="00497923"/>
  </w:style>
  <w:style w:type="character" w:customStyle="1" w:styleId="cf01">
    <w:name w:val="cf01"/>
    <w:basedOn w:val="Domylnaczcionkaakapitu"/>
    <w:rsid w:val="00497923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97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3226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dcterms:created xsi:type="dcterms:W3CDTF">2023-03-20T08:22:00Z</dcterms:created>
  <dcterms:modified xsi:type="dcterms:W3CDTF">2023-03-20T08:23:00Z</dcterms:modified>
</cp:coreProperties>
</file>