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Gmina Olszanka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Olszanka, 29.04.2022</w:t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Olszanka 16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49-332 Olszanka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SSO.3153.3.7.2022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  (t.j. Dz. U. 2021r poz. 193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ze zmianami), zwana dalej ustawą, Gmina Olszanka ogłasza, że:</w:t>
      </w:r>
    </w:p>
    <w:p>
      <w:pPr>
        <w:pStyle w:val="Normal"/>
        <w:ind w:hanging="0"/>
        <w:jc w:val="both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2022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1033,26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2022 rok, o której mowa w art. 12 ust. 2 ustawy  wynosi 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150,78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145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1,362.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</w:t>
      </w:r>
      <w:r>
        <w:rPr/>
        <w:t>Wójt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</w:t>
      </w:r>
      <w:r>
        <w:rPr/>
        <w:t xml:space="preserve">/-/ </w:t>
      </w:r>
      <w:r>
        <w:rPr/>
        <w:t>Aneta Rabczewska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LibreOffice/7.0.1.2$Windows_X86_64 LibreOffice_project/7cbcfc562f6eb6708b5ff7d7397325de9e764452</Application>
  <Pages>1</Pages>
  <Words>143</Words>
  <Characters>779</Characters>
  <CharactersWithSpaces>1107</CharactersWithSpaces>
  <Paragraphs>14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2022-04-29T12:18:37Z</cp:lastPrinted>
  <dcterms:modified xsi:type="dcterms:W3CDTF">2022-04-29T12:47:28Z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