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84" w:rsidRDefault="00842884" w:rsidP="00842884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842884" w:rsidRDefault="00842884" w:rsidP="00842884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2021r., poz. 1899 z </w:t>
      </w:r>
      <w:proofErr w:type="spellStart"/>
      <w:r>
        <w:t>późn</w:t>
      </w:r>
      <w:proofErr w:type="spellEnd"/>
      <w:r>
        <w:t xml:space="preserve">. zm.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10 maja 2022r. o godz.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842884" w:rsidRDefault="00842884" w:rsidP="00842884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Przylesie.</w:t>
      </w:r>
    </w:p>
    <w:p w:rsidR="00842884" w:rsidRDefault="00842884" w:rsidP="00842884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</w:t>
      </w:r>
      <w:bookmarkStart w:id="0" w:name="_GoBack"/>
      <w:r>
        <w:rPr>
          <w:bCs/>
        </w:rPr>
        <w:t>129/9</w:t>
      </w:r>
      <w:bookmarkEnd w:id="0"/>
      <w:r>
        <w:rPr>
          <w:bCs/>
        </w:rPr>
        <w:t xml:space="preserve">, arkusz mapy 1, o powierzchni 0,0988 ha, numer jednostki rejestrowej G.183, użytek </w:t>
      </w:r>
      <w:proofErr w:type="spellStart"/>
      <w:r>
        <w:rPr>
          <w:bCs/>
        </w:rPr>
        <w:t>RIVa</w:t>
      </w:r>
      <w:proofErr w:type="spellEnd"/>
      <w:r>
        <w:rPr>
          <w:bCs/>
        </w:rPr>
        <w:t xml:space="preserve">, położona w Przylesiu, zapisana w księdze wieczystej nr OP1B/00020185/8. Działka niezabudowana o regularnym kształcie, położona w sąsiedztwie nieruchomości niezabudowanych i zabudowanych budynkami mieszkalnymi jednorodzinnymi i budynkami użytkowymi do produkcji rolnej z możliwością  podłączenia do sieci elektrycznej i wodno- kanalizacyjnej z drogi głównej. Nieruchomość przylega do terenów boiska sportowego  z dojazdem z drogi o nawierzchni nie urządzonej. Teren równy bez pofałdowań, działka nie jest ogrodzona, nie jest zabudowana, nie jest uzbrojona,  gęsto porośnięta dzikimi krzewami i trawami. </w:t>
      </w:r>
    </w:p>
    <w:p w:rsidR="00842884" w:rsidRDefault="00842884" w:rsidP="00842884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842884" w:rsidRDefault="00842884" w:rsidP="00842884">
      <w:pPr>
        <w:ind w:left="-284"/>
        <w:jc w:val="both"/>
      </w:pPr>
      <w:r>
        <w:t>Nie wyklucza się istnienia w terenie kamieni i przedmiotów niewidocznych  wizualnie.</w:t>
      </w:r>
    </w:p>
    <w:p w:rsidR="00842884" w:rsidRDefault="00842884" w:rsidP="00842884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842884" w:rsidRDefault="00842884" w:rsidP="00842884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zabudowanych i niezabudowanych. </w:t>
      </w:r>
    </w:p>
    <w:p w:rsidR="00842884" w:rsidRDefault="00842884" w:rsidP="00842884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842884" w:rsidRDefault="00842884" w:rsidP="00842884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842884" w:rsidRDefault="00842884" w:rsidP="00842884">
      <w:pPr>
        <w:ind w:hanging="567"/>
        <w:jc w:val="both"/>
        <w:rPr>
          <w:bCs/>
        </w:rPr>
      </w:pPr>
      <w:r>
        <w:rPr>
          <w:b/>
          <w:bCs/>
        </w:rPr>
        <w:t>6.  Cena wywoławcza : 38.000,00 zł</w:t>
      </w:r>
      <w:r>
        <w:rPr>
          <w:bCs/>
        </w:rPr>
        <w:t xml:space="preserve"> ( słownie  : trzydzieści osiem tysięcy złotych  00/100). </w:t>
      </w:r>
    </w:p>
    <w:p w:rsidR="00842884" w:rsidRDefault="00842884" w:rsidP="00842884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RPO - obszar koncentracji urządzeń rolnictwa.</w:t>
      </w:r>
    </w:p>
    <w:p w:rsidR="00842884" w:rsidRDefault="00842884" w:rsidP="00842884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842884" w:rsidRDefault="00842884" w:rsidP="00842884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842884" w:rsidRDefault="00842884" w:rsidP="0084288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842884" w:rsidRDefault="00842884" w:rsidP="0084288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842884" w:rsidRDefault="00842884" w:rsidP="0084288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842884" w:rsidRDefault="00842884" w:rsidP="00842884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842884" w:rsidRDefault="00842884" w:rsidP="00842884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842884" w:rsidRDefault="00842884" w:rsidP="00842884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842884" w:rsidRDefault="00842884" w:rsidP="00842884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842884" w:rsidRDefault="00842884" w:rsidP="00842884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10.05.2022r., o godzinie 10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842884" w:rsidRDefault="00842884" w:rsidP="00842884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3.000,-zł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05.05.2021r., do godziny 14</w:t>
      </w:r>
      <w:r>
        <w:rPr>
          <w:b/>
          <w:bCs/>
          <w:vertAlign w:val="superscript"/>
        </w:rPr>
        <w:t>00</w:t>
      </w:r>
      <w:r>
        <w:t xml:space="preserve"> </w:t>
      </w:r>
      <w:r>
        <w:lastRenderedPageBreak/>
        <w:t xml:space="preserve">na konto Urzędu,  Bank Spółdzielczy Grodków – Łosiów Nr 08887000051004011015760203  przy czym warunkiem dopuszczenia do przetargu  jest to, by w wyznaczonym dniu wpłaty </w:t>
      </w:r>
      <w:r>
        <w:rPr>
          <w:b/>
          <w:bCs/>
        </w:rPr>
        <w:t>05.05.2022r., do godziny 14</w:t>
      </w:r>
      <w:r>
        <w:rPr>
          <w:b/>
          <w:bCs/>
          <w:vertAlign w:val="superscript"/>
        </w:rPr>
        <w:t>00</w:t>
      </w:r>
      <w:r>
        <w:t xml:space="preserve"> wpłata była odnotowana  na koncie Urzędu. Za termin wpłaty uważa się wpływ środków na konto Urzędu Gminy w Olszance.</w:t>
      </w:r>
    </w:p>
    <w:p w:rsidR="00842884" w:rsidRDefault="00842884" w:rsidP="00842884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842884" w:rsidRDefault="00842884" w:rsidP="00842884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842884" w:rsidRDefault="00842884" w:rsidP="00842884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842884" w:rsidRDefault="00842884" w:rsidP="00842884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842884" w:rsidRDefault="00842884" w:rsidP="00842884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842884" w:rsidRDefault="00842884" w:rsidP="00842884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842884" w:rsidRDefault="00842884" w:rsidP="00842884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842884" w:rsidRDefault="00842884" w:rsidP="00842884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842884" w:rsidRDefault="00842884" w:rsidP="00842884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842884" w:rsidRDefault="00842884" w:rsidP="00842884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842884" w:rsidRDefault="00842884" w:rsidP="00842884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842884" w:rsidRDefault="00842884" w:rsidP="00842884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842884" w:rsidRDefault="00842884" w:rsidP="00842884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842884" w:rsidRDefault="00842884" w:rsidP="00842884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25.03.2022r., do dnia 10.05.2022r.</w:t>
      </w:r>
      <w:r>
        <w:rPr>
          <w:bCs/>
        </w:rPr>
        <w:t xml:space="preserve"> </w:t>
      </w:r>
      <w:r>
        <w:rPr>
          <w:bCs/>
        </w:rPr>
        <w:lastRenderedPageBreak/>
        <w:t xml:space="preserve">Ponadto treść w/w Ogłoszenia o przetargu zostanie opublikowana w prasie lokalnej – Panoramie Powiatu oraz w Biuletynie Informacji Publicznej Urzędu. </w:t>
      </w:r>
    </w:p>
    <w:p w:rsidR="00842884" w:rsidRDefault="00842884" w:rsidP="00842884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842884" w:rsidRDefault="00842884" w:rsidP="00842884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842884" w:rsidRDefault="00842884" w:rsidP="00842884">
      <w:pPr>
        <w:ind w:left="-142"/>
        <w:jc w:val="both"/>
      </w:pPr>
    </w:p>
    <w:p w:rsidR="00842884" w:rsidRDefault="00842884" w:rsidP="00842884">
      <w:pPr>
        <w:ind w:left="-142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Olszanka</w:t>
      </w:r>
    </w:p>
    <w:p w:rsidR="00842884" w:rsidRDefault="00842884" w:rsidP="00842884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842884" w:rsidRDefault="00842884" w:rsidP="00842884">
      <w:pPr>
        <w:ind w:left="4956"/>
      </w:pPr>
    </w:p>
    <w:p w:rsidR="00842884" w:rsidRDefault="00842884" w:rsidP="00842884">
      <w:r>
        <w:t>Olszanka 25 marca 2022r.</w:t>
      </w:r>
    </w:p>
    <w:p w:rsidR="00872545" w:rsidRDefault="00842884"/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84"/>
    <w:rsid w:val="00842884"/>
    <w:rsid w:val="00A579D4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D0B83-9A0D-4E85-8AA4-116F8F8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884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88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dcterms:created xsi:type="dcterms:W3CDTF">2022-03-25T12:22:00Z</dcterms:created>
  <dcterms:modified xsi:type="dcterms:W3CDTF">2022-03-25T12:23:00Z</dcterms:modified>
</cp:coreProperties>
</file>